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3F2FE" w14:textId="19934F34" w:rsidR="00042560" w:rsidRPr="008F0034" w:rsidRDefault="008470DA" w:rsidP="004614C6">
      <w:pPr>
        <w:jc w:val="center"/>
        <w:rPr>
          <w:rFonts w:ascii="Times New Roman" w:hAnsi="Times New Roman" w:cs="Times New Roman"/>
          <w:b/>
          <w:lang w:val="en-GB"/>
        </w:rPr>
      </w:pPr>
      <w:r w:rsidRPr="008F0034">
        <w:rPr>
          <w:rFonts w:ascii="Times New Roman" w:hAnsi="Times New Roman" w:cs="Times New Roman"/>
          <w:b/>
          <w:lang w:val="en-GB"/>
        </w:rPr>
        <w:t>Biodegradable carriers for intradermal delivery of glucocorticoids</w:t>
      </w:r>
    </w:p>
    <w:p w14:paraId="44AD551D" w14:textId="2AE1070A" w:rsidR="00416830" w:rsidRPr="008F0034" w:rsidRDefault="00416830" w:rsidP="00416830">
      <w:pPr>
        <w:spacing w:after="0"/>
        <w:jc w:val="center"/>
        <w:rPr>
          <w:rFonts w:ascii="Times New Roman" w:hAnsi="Times New Roman" w:cs="Times New Roman"/>
          <w:lang w:val="en-GB"/>
        </w:rPr>
      </w:pPr>
      <w:r w:rsidRPr="008F0034">
        <w:rPr>
          <w:rFonts w:ascii="Times New Roman" w:hAnsi="Times New Roman" w:cs="Times New Roman"/>
          <w:lang w:val="en-GB"/>
        </w:rPr>
        <w:t xml:space="preserve">Yulia I. Svenskaya, Mariia S. Saveleva, </w:t>
      </w:r>
      <w:r w:rsidR="008470DA" w:rsidRPr="008F0034">
        <w:rPr>
          <w:rFonts w:ascii="Times New Roman" w:hAnsi="Times New Roman" w:cs="Times New Roman"/>
          <w:lang w:val="en-GB"/>
        </w:rPr>
        <w:t xml:space="preserve">Polina A. Demina, Roman A. Verkhovskii, Roman Anisimov, Ekaterina E. Talnikova, Anastasiia A. Kozlova, </w:t>
      </w:r>
      <w:r w:rsidRPr="008F0034">
        <w:rPr>
          <w:rFonts w:ascii="Times New Roman" w:hAnsi="Times New Roman" w:cs="Times New Roman"/>
          <w:lang w:val="en-GB"/>
        </w:rPr>
        <w:t>Elina A. Genina</w:t>
      </w:r>
      <w:r w:rsidR="008470DA" w:rsidRPr="008F0034">
        <w:rPr>
          <w:rFonts w:ascii="Times New Roman" w:hAnsi="Times New Roman" w:cs="Times New Roman"/>
          <w:lang w:val="en-GB"/>
        </w:rPr>
        <w:t>, Valery V. Tuchin</w:t>
      </w:r>
    </w:p>
    <w:p w14:paraId="7854C103" w14:textId="77777777" w:rsidR="008470DA" w:rsidRPr="008F0034" w:rsidRDefault="008470DA" w:rsidP="008470DA">
      <w:pPr>
        <w:spacing w:after="0"/>
        <w:jc w:val="center"/>
        <w:rPr>
          <w:rFonts w:ascii="Times New Roman" w:hAnsi="Times New Roman" w:cs="Times New Roman"/>
          <w:lang w:val="en-GB"/>
        </w:rPr>
      </w:pPr>
    </w:p>
    <w:p w14:paraId="48A7018B" w14:textId="18955311" w:rsidR="00416830" w:rsidRPr="008F0034" w:rsidRDefault="005E2725" w:rsidP="008470DA">
      <w:pPr>
        <w:spacing w:after="0"/>
        <w:jc w:val="center"/>
        <w:rPr>
          <w:rFonts w:ascii="Times New Roman" w:hAnsi="Times New Roman" w:cs="Times New Roman"/>
          <w:lang w:val="en-GB"/>
        </w:rPr>
      </w:pPr>
      <w:r>
        <w:rPr>
          <w:rFonts w:ascii="Times New Roman" w:hAnsi="Times New Roman" w:cs="Times New Roman"/>
          <w:lang w:val="en-GB"/>
        </w:rPr>
        <w:t>Scientific</w:t>
      </w:r>
      <w:r w:rsidR="00416830" w:rsidRPr="008F0034">
        <w:rPr>
          <w:rFonts w:ascii="Times New Roman" w:hAnsi="Times New Roman" w:cs="Times New Roman"/>
          <w:lang w:val="en-GB"/>
        </w:rPr>
        <w:t xml:space="preserve"> Medical Center, Saratov State University, Saratov 410012, Russia</w:t>
      </w:r>
    </w:p>
    <w:p w14:paraId="12BD971C" w14:textId="77777777" w:rsidR="003B7918" w:rsidRPr="008F0034" w:rsidRDefault="003B7918" w:rsidP="008470DA">
      <w:pPr>
        <w:spacing w:after="0"/>
        <w:jc w:val="both"/>
        <w:rPr>
          <w:rFonts w:ascii="Times New Roman" w:eastAsia="Times New Roman" w:hAnsi="Times New Roman" w:cs="Times New Roman"/>
          <w:sz w:val="24"/>
          <w:szCs w:val="24"/>
          <w:lang w:val="en-GB"/>
        </w:rPr>
      </w:pPr>
    </w:p>
    <w:p w14:paraId="248FD325" w14:textId="775AF411" w:rsidR="008F0034" w:rsidRPr="008F0034" w:rsidRDefault="008470DA" w:rsidP="008F0034">
      <w:pPr>
        <w:pStyle w:val="af4"/>
        <w:spacing w:before="240" w:beforeAutospacing="0" w:after="0" w:afterAutospacing="0"/>
        <w:jc w:val="both"/>
        <w:rPr>
          <w:lang w:val="en-GB"/>
        </w:rPr>
      </w:pPr>
      <w:r w:rsidRPr="008F0034">
        <w:rPr>
          <w:lang w:val="en-GB"/>
        </w:rPr>
        <w:tab/>
      </w:r>
      <w:r w:rsidR="008F0034" w:rsidRPr="008F0034">
        <w:rPr>
          <w:color w:val="000000"/>
          <w:lang w:val="en-GB"/>
        </w:rPr>
        <w:t xml:space="preserve">Topical glucocorticosteroids (GCS) represent the basis for therapy of a wide range of inflammatory dermatoses, including psoriasis, atopic dermatitis, alopecia areata, lichen planus, </w:t>
      </w:r>
      <w:r w:rsidR="008F0034" w:rsidRPr="008F0034">
        <w:rPr>
          <w:i/>
          <w:iCs/>
          <w:color w:val="000000"/>
          <w:lang w:val="en-GB"/>
        </w:rPr>
        <w:t>etc</w:t>
      </w:r>
      <w:r w:rsidR="00480D53">
        <w:rPr>
          <w:color w:val="000000"/>
          <w:lang w:val="en-GB"/>
        </w:rPr>
        <w:t>. However, the</w:t>
      </w:r>
      <w:r w:rsidR="008F0034" w:rsidRPr="008F0034">
        <w:rPr>
          <w:color w:val="000000"/>
          <w:lang w:val="en-GB"/>
        </w:rPr>
        <w:t xml:space="preserve"> improvement for their penetration through the stratum corneum and </w:t>
      </w:r>
      <w:r w:rsidR="00480D53">
        <w:rPr>
          <w:color w:val="000000"/>
          <w:lang w:val="en-GB"/>
        </w:rPr>
        <w:t xml:space="preserve">intradermal </w:t>
      </w:r>
      <w:r w:rsidR="008F0034" w:rsidRPr="008F0034">
        <w:rPr>
          <w:color w:val="000000"/>
          <w:lang w:val="en-GB"/>
        </w:rPr>
        <w:t xml:space="preserve">accumulation in the sites of GCS receptors </w:t>
      </w:r>
      <w:r w:rsidR="00480D53">
        <w:rPr>
          <w:color w:val="000000"/>
          <w:lang w:val="en-GB"/>
        </w:rPr>
        <w:t>remains actual. Low dermal bioavailability causes t</w:t>
      </w:r>
      <w:r w:rsidR="008F0034" w:rsidRPr="008F0034">
        <w:rPr>
          <w:color w:val="000000"/>
          <w:lang w:val="en-GB"/>
        </w:rPr>
        <w:t xml:space="preserve">he </w:t>
      </w:r>
      <w:r w:rsidR="00802BDF">
        <w:rPr>
          <w:color w:val="000000"/>
          <w:lang w:val="en-GB"/>
        </w:rPr>
        <w:t>need for</w:t>
      </w:r>
      <w:bookmarkStart w:id="0" w:name="_GoBack"/>
      <w:bookmarkEnd w:id="0"/>
      <w:r w:rsidR="00480D53">
        <w:rPr>
          <w:color w:val="000000"/>
          <w:lang w:val="en-GB"/>
        </w:rPr>
        <w:t xml:space="preserve"> </w:t>
      </w:r>
      <w:r w:rsidR="008F0034" w:rsidRPr="008F0034">
        <w:rPr>
          <w:color w:val="000000"/>
          <w:lang w:val="en-GB"/>
        </w:rPr>
        <w:t xml:space="preserve">repeated applications of conventional topical GCS formulations </w:t>
      </w:r>
      <w:r w:rsidR="00480D53">
        <w:rPr>
          <w:color w:val="000000"/>
          <w:lang w:val="en-GB"/>
        </w:rPr>
        <w:t xml:space="preserve">that </w:t>
      </w:r>
      <w:r w:rsidR="008F0034" w:rsidRPr="008F0034">
        <w:rPr>
          <w:color w:val="000000"/>
          <w:lang w:val="en-GB"/>
        </w:rPr>
        <w:t>contribute</w:t>
      </w:r>
      <w:r w:rsidR="00480D53">
        <w:rPr>
          <w:color w:val="000000"/>
          <w:lang w:val="en-GB"/>
        </w:rPr>
        <w:t>s</w:t>
      </w:r>
      <w:r w:rsidR="008F0034" w:rsidRPr="008F0034">
        <w:rPr>
          <w:color w:val="000000"/>
          <w:lang w:val="en-GB"/>
        </w:rPr>
        <w:t xml:space="preserve"> to the development of skin atrophy. The GCS delivery to the hair follicles op</w:t>
      </w:r>
      <w:r w:rsidR="00480D53">
        <w:rPr>
          <w:color w:val="000000"/>
          <w:lang w:val="en-GB"/>
        </w:rPr>
        <w:t>ens up the possibility to localize and enhance its</w:t>
      </w:r>
      <w:r w:rsidR="008F0034" w:rsidRPr="008F0034">
        <w:rPr>
          <w:color w:val="000000"/>
          <w:lang w:val="en-GB"/>
        </w:rPr>
        <w:t xml:space="preserve"> therapeutic effect, since a large number of GCS receptors are located in the outer root sheath of the follicle, as well as in the areas of the sebaceous </w:t>
      </w:r>
      <w:r w:rsidR="0046746A" w:rsidRPr="008F0034">
        <w:rPr>
          <w:color w:val="000000"/>
          <w:lang w:val="en-GB"/>
        </w:rPr>
        <w:t>glands</w:t>
      </w:r>
      <w:r w:rsidR="0046746A" w:rsidRPr="008F0034">
        <w:rPr>
          <w:color w:val="000000"/>
          <w:lang w:val="en-GB"/>
        </w:rPr>
        <w:t xml:space="preserve"> </w:t>
      </w:r>
      <w:r w:rsidR="008F0034" w:rsidRPr="008F0034">
        <w:rPr>
          <w:color w:val="000000"/>
          <w:lang w:val="en-GB"/>
        </w:rPr>
        <w:t>and sweat</w:t>
      </w:r>
      <w:r w:rsidR="0046746A">
        <w:rPr>
          <w:color w:val="000000"/>
          <w:lang w:val="en-GB"/>
        </w:rPr>
        <w:t xml:space="preserve"> ducts</w:t>
      </w:r>
      <w:r w:rsidR="008F0034" w:rsidRPr="008F0034">
        <w:rPr>
          <w:color w:val="000000"/>
          <w:lang w:val="en-GB"/>
        </w:rPr>
        <w:t>.</w:t>
      </w:r>
    </w:p>
    <w:p w14:paraId="4A759A29" w14:textId="33187F7D" w:rsidR="00C6380B" w:rsidRPr="008F0034" w:rsidRDefault="008F0034" w:rsidP="008F0034">
      <w:pPr>
        <w:spacing w:after="0"/>
        <w:jc w:val="both"/>
        <w:rPr>
          <w:rFonts w:ascii="Times New Roman" w:eastAsia="Times New Roman" w:hAnsi="Times New Roman" w:cs="Times New Roman"/>
          <w:sz w:val="24"/>
          <w:szCs w:val="24"/>
          <w:lang w:val="en-GB"/>
        </w:rPr>
      </w:pPr>
      <w:r w:rsidRPr="008F0034">
        <w:rPr>
          <w:rFonts w:ascii="Times New Roman" w:eastAsia="Times New Roman" w:hAnsi="Times New Roman" w:cs="Times New Roman"/>
          <w:color w:val="000000"/>
          <w:sz w:val="24"/>
          <w:szCs w:val="24"/>
          <w:lang w:val="en-GB" w:eastAsia="ru-RU"/>
        </w:rPr>
        <w:t>        </w:t>
      </w:r>
      <w:r w:rsidRPr="008F0034">
        <w:rPr>
          <w:rFonts w:ascii="Times New Roman" w:eastAsia="Times New Roman" w:hAnsi="Times New Roman" w:cs="Times New Roman"/>
          <w:color w:val="000000"/>
          <w:sz w:val="24"/>
          <w:szCs w:val="24"/>
          <w:lang w:val="en-GB" w:eastAsia="ru-RU"/>
        </w:rPr>
        <w:tab/>
        <w:t xml:space="preserve">Here, we report on a novel approach towards the GCS encapsulation and delivery to </w:t>
      </w:r>
      <w:r w:rsidR="00AC6BCB">
        <w:rPr>
          <w:rFonts w:ascii="Times New Roman" w:eastAsia="Times New Roman" w:hAnsi="Times New Roman" w:cs="Times New Roman"/>
          <w:color w:val="000000"/>
          <w:sz w:val="24"/>
          <w:szCs w:val="24"/>
          <w:lang w:val="en-GB" w:eastAsia="ru-RU"/>
        </w:rPr>
        <w:t>the pilosebaceous reservoir, which can improve the topical application</w:t>
      </w:r>
      <w:r w:rsidRPr="008F0034">
        <w:rPr>
          <w:rFonts w:ascii="Times New Roman" w:eastAsia="Times New Roman" w:hAnsi="Times New Roman" w:cs="Times New Roman"/>
          <w:color w:val="000000"/>
          <w:sz w:val="24"/>
          <w:szCs w:val="24"/>
          <w:lang w:val="en-GB" w:eastAsia="ru-RU"/>
        </w:rPr>
        <w:t xml:space="preserve"> of such hormonal drugs. It involves the use of vaterite particles, which are biodegradable and biocompatible. We demonstrate the possibility of effective immobilization of various GCSs into the porous vaterite matrix. The obtained carriers displayed a good cellular uptake together with the low cytotoxicity when studied in fibroblasts </w:t>
      </w:r>
      <w:r w:rsidRPr="008F0034">
        <w:rPr>
          <w:rFonts w:ascii="Times New Roman" w:eastAsia="Times New Roman" w:hAnsi="Times New Roman" w:cs="Times New Roman"/>
          <w:i/>
          <w:iCs/>
          <w:color w:val="000000"/>
          <w:sz w:val="24"/>
          <w:szCs w:val="24"/>
          <w:lang w:val="en-GB" w:eastAsia="ru-RU"/>
        </w:rPr>
        <w:t>in vitro</w:t>
      </w:r>
      <w:r w:rsidRPr="008F0034">
        <w:rPr>
          <w:rFonts w:ascii="Times New Roman" w:eastAsia="Times New Roman" w:hAnsi="Times New Roman" w:cs="Times New Roman"/>
          <w:color w:val="000000"/>
          <w:sz w:val="24"/>
          <w:szCs w:val="24"/>
          <w:lang w:val="en-GB" w:eastAsia="ru-RU"/>
        </w:rPr>
        <w:t xml:space="preserve">. Efficient intrafollicular accumulation of the carriers after their US-assisted topical application </w:t>
      </w:r>
      <w:r w:rsidRPr="008F0034">
        <w:rPr>
          <w:rFonts w:ascii="Times New Roman" w:eastAsia="Times New Roman" w:hAnsi="Times New Roman" w:cs="Times New Roman"/>
          <w:i/>
          <w:iCs/>
          <w:color w:val="000000"/>
          <w:sz w:val="24"/>
          <w:szCs w:val="24"/>
          <w:lang w:val="en-GB" w:eastAsia="ru-RU"/>
        </w:rPr>
        <w:t>in vivo</w:t>
      </w:r>
      <w:r w:rsidRPr="008F0034">
        <w:rPr>
          <w:rFonts w:ascii="Times New Roman" w:eastAsia="Times New Roman" w:hAnsi="Times New Roman" w:cs="Times New Roman"/>
          <w:color w:val="000000"/>
          <w:sz w:val="24"/>
          <w:szCs w:val="24"/>
          <w:lang w:val="en-GB" w:eastAsia="ru-RU"/>
        </w:rPr>
        <w:t xml:space="preserve"> in rats provided the delivery of the drug molecules to targeted receptors. Gradual degradation of the vaterite matrices inside the hair follicles granted </w:t>
      </w:r>
      <w:r w:rsidRPr="008F0034">
        <w:rPr>
          <w:rFonts w:ascii="Times New Roman" w:eastAsia="Times New Roman" w:hAnsi="Times New Roman" w:cs="Times New Roman"/>
          <w:i/>
          <w:iCs/>
          <w:color w:val="000000"/>
          <w:sz w:val="24"/>
          <w:szCs w:val="24"/>
          <w:lang w:val="en-GB" w:eastAsia="ru-RU"/>
        </w:rPr>
        <w:t>in situ</w:t>
      </w:r>
      <w:r w:rsidRPr="008F0034">
        <w:rPr>
          <w:rFonts w:ascii="Times New Roman" w:eastAsia="Times New Roman" w:hAnsi="Times New Roman" w:cs="Times New Roman"/>
          <w:color w:val="000000"/>
          <w:sz w:val="24"/>
          <w:szCs w:val="24"/>
          <w:lang w:val="en-GB" w:eastAsia="ru-RU"/>
        </w:rPr>
        <w:t xml:space="preserve"> liberation of the payload. The resulting enhancement of a local corticosteroid’s concentration in skin appendages could provide the lowering of the dose and frequency of the GCS application. Thus, it might contribute to the reduction of the side effects associated with its administration</w:t>
      </w:r>
      <w:r w:rsidR="00AC6BCB">
        <w:rPr>
          <w:rFonts w:ascii="Times New Roman" w:eastAsia="Times New Roman" w:hAnsi="Times New Roman" w:cs="Times New Roman"/>
          <w:color w:val="000000"/>
          <w:sz w:val="24"/>
          <w:szCs w:val="24"/>
          <w:lang w:val="en-GB" w:eastAsia="ru-RU"/>
        </w:rPr>
        <w:t>.</w:t>
      </w:r>
    </w:p>
    <w:p w14:paraId="0F2EE6CE" w14:textId="39C923CF" w:rsidR="00042560" w:rsidRPr="008F0034" w:rsidRDefault="000F5031" w:rsidP="00042560">
      <w:pPr>
        <w:spacing w:after="0"/>
        <w:jc w:val="both"/>
        <w:rPr>
          <w:rFonts w:ascii="Times New Roman" w:eastAsia="Times New Roman" w:hAnsi="Times New Roman" w:cs="Times New Roman"/>
          <w:sz w:val="24"/>
          <w:szCs w:val="24"/>
          <w:lang w:val="en-GB"/>
        </w:rPr>
      </w:pPr>
      <w:r w:rsidRPr="008F0034">
        <w:rPr>
          <w:rFonts w:ascii="Times New Roman" w:eastAsia="Times New Roman" w:hAnsi="Times New Roman" w:cs="Times New Roman"/>
          <w:sz w:val="24"/>
          <w:szCs w:val="24"/>
          <w:lang w:val="en-GB"/>
        </w:rPr>
        <w:tab/>
      </w:r>
      <w:r w:rsidR="00042560" w:rsidRPr="008F0034">
        <w:rPr>
          <w:rFonts w:ascii="Times New Roman" w:eastAsia="Times New Roman" w:hAnsi="Times New Roman" w:cs="Times New Roman"/>
          <w:sz w:val="24"/>
          <w:szCs w:val="24"/>
          <w:lang w:val="en-GB"/>
        </w:rPr>
        <w:t>T</w:t>
      </w:r>
      <w:r w:rsidRPr="008F0034">
        <w:rPr>
          <w:rFonts w:ascii="Times New Roman" w:eastAsia="Times New Roman" w:hAnsi="Times New Roman" w:cs="Times New Roman"/>
          <w:sz w:val="24"/>
          <w:szCs w:val="24"/>
          <w:lang w:val="en-GB"/>
        </w:rPr>
        <w:t>he work i</w:t>
      </w:r>
      <w:r w:rsidR="00042560" w:rsidRPr="008F0034">
        <w:rPr>
          <w:rFonts w:ascii="Times New Roman" w:eastAsia="Times New Roman" w:hAnsi="Times New Roman" w:cs="Times New Roman"/>
          <w:sz w:val="24"/>
          <w:szCs w:val="24"/>
          <w:lang w:val="en-GB"/>
        </w:rPr>
        <w:t>s supported by Russian Science F</w:t>
      </w:r>
      <w:r w:rsidRPr="008F0034">
        <w:rPr>
          <w:rFonts w:ascii="Times New Roman" w:eastAsia="Times New Roman" w:hAnsi="Times New Roman" w:cs="Times New Roman"/>
          <w:sz w:val="24"/>
          <w:szCs w:val="24"/>
          <w:lang w:val="en-GB"/>
        </w:rPr>
        <w:t>oundation (project № 22-73-10194</w:t>
      </w:r>
      <w:r w:rsidR="00042560" w:rsidRPr="008F0034">
        <w:rPr>
          <w:rFonts w:ascii="Times New Roman" w:eastAsia="Times New Roman" w:hAnsi="Times New Roman" w:cs="Times New Roman"/>
          <w:sz w:val="24"/>
          <w:szCs w:val="24"/>
          <w:lang w:val="en-GB"/>
        </w:rPr>
        <w:t>).</w:t>
      </w:r>
    </w:p>
    <w:p w14:paraId="3076A43A" w14:textId="68898582" w:rsidR="006967B3" w:rsidRPr="008F0034" w:rsidRDefault="006967B3" w:rsidP="003E5FAE">
      <w:pPr>
        <w:rPr>
          <w:rFonts w:ascii="Times New Roman" w:hAnsi="Times New Roman" w:cs="Times New Roman"/>
          <w:lang w:val="en-GB"/>
        </w:rPr>
      </w:pPr>
    </w:p>
    <w:sectPr w:rsidR="006967B3" w:rsidRPr="008F0034" w:rsidSect="0068789A">
      <w:type w:val="continuous"/>
      <w:pgSz w:w="11906" w:h="16838"/>
      <w:pgMar w:top="1890" w:right="1826" w:bottom="1620" w:left="1350" w:header="706" w:footer="113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F96C0" w14:textId="77777777" w:rsidR="00EE331D" w:rsidRDefault="00EE331D" w:rsidP="008004E5">
      <w:pPr>
        <w:spacing w:after="0" w:line="240" w:lineRule="auto"/>
      </w:pPr>
      <w:r>
        <w:separator/>
      </w:r>
    </w:p>
  </w:endnote>
  <w:endnote w:type="continuationSeparator" w:id="0">
    <w:p w14:paraId="567F9B23" w14:textId="77777777" w:rsidR="00EE331D" w:rsidRDefault="00EE331D" w:rsidP="0080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B1F4E" w14:textId="77777777" w:rsidR="00EE331D" w:rsidRDefault="00EE331D" w:rsidP="008004E5">
      <w:pPr>
        <w:spacing w:after="0" w:line="240" w:lineRule="auto"/>
      </w:pPr>
      <w:r>
        <w:separator/>
      </w:r>
    </w:p>
  </w:footnote>
  <w:footnote w:type="continuationSeparator" w:id="0">
    <w:p w14:paraId="56D379D9" w14:textId="77777777" w:rsidR="00EE331D" w:rsidRDefault="00EE331D" w:rsidP="00800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14F51"/>
    <w:multiLevelType w:val="hybridMultilevel"/>
    <w:tmpl w:val="DEBC8208"/>
    <w:lvl w:ilvl="0" w:tplc="5EA6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F1603"/>
    <w:multiLevelType w:val="hybridMultilevel"/>
    <w:tmpl w:val="254883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yMDIyMjMwMzE2tLBQ0lEKTi0uzszPAykwqQUAofkmdSwAAAA="/>
  </w:docVars>
  <w:rsids>
    <w:rsidRoot w:val="008004E5"/>
    <w:rsid w:val="00027FBA"/>
    <w:rsid w:val="00042560"/>
    <w:rsid w:val="000455BB"/>
    <w:rsid w:val="00051892"/>
    <w:rsid w:val="00070FE3"/>
    <w:rsid w:val="000926EE"/>
    <w:rsid w:val="00095C3C"/>
    <w:rsid w:val="000A5795"/>
    <w:rsid w:val="000A713F"/>
    <w:rsid w:val="000E2C93"/>
    <w:rsid w:val="000F5031"/>
    <w:rsid w:val="00102E6C"/>
    <w:rsid w:val="0014483E"/>
    <w:rsid w:val="001850CB"/>
    <w:rsid w:val="0018632A"/>
    <w:rsid w:val="001911E2"/>
    <w:rsid w:val="00194B23"/>
    <w:rsid w:val="001A1E31"/>
    <w:rsid w:val="001A365E"/>
    <w:rsid w:val="001E018A"/>
    <w:rsid w:val="001E51F7"/>
    <w:rsid w:val="001F4250"/>
    <w:rsid w:val="002A048B"/>
    <w:rsid w:val="002D7E8E"/>
    <w:rsid w:val="002E4121"/>
    <w:rsid w:val="002E6D5C"/>
    <w:rsid w:val="002F6ED7"/>
    <w:rsid w:val="00301895"/>
    <w:rsid w:val="00380F11"/>
    <w:rsid w:val="003B7918"/>
    <w:rsid w:val="003E4A72"/>
    <w:rsid w:val="003E5FAE"/>
    <w:rsid w:val="003F1942"/>
    <w:rsid w:val="00416830"/>
    <w:rsid w:val="0041794D"/>
    <w:rsid w:val="0043616A"/>
    <w:rsid w:val="00444DA8"/>
    <w:rsid w:val="004614C6"/>
    <w:rsid w:val="0046746A"/>
    <w:rsid w:val="00480D53"/>
    <w:rsid w:val="004B27E2"/>
    <w:rsid w:val="00535D9D"/>
    <w:rsid w:val="0054550A"/>
    <w:rsid w:val="00586CF8"/>
    <w:rsid w:val="0059007E"/>
    <w:rsid w:val="005C7728"/>
    <w:rsid w:val="005E2725"/>
    <w:rsid w:val="005E4074"/>
    <w:rsid w:val="005F49BA"/>
    <w:rsid w:val="00646FEE"/>
    <w:rsid w:val="00680E42"/>
    <w:rsid w:val="0068789A"/>
    <w:rsid w:val="006967B3"/>
    <w:rsid w:val="006B082A"/>
    <w:rsid w:val="006C20FF"/>
    <w:rsid w:val="006E6712"/>
    <w:rsid w:val="00701358"/>
    <w:rsid w:val="00710543"/>
    <w:rsid w:val="007225F0"/>
    <w:rsid w:val="00792A9C"/>
    <w:rsid w:val="007A76D2"/>
    <w:rsid w:val="008004E5"/>
    <w:rsid w:val="00802BDF"/>
    <w:rsid w:val="00811D33"/>
    <w:rsid w:val="0082548B"/>
    <w:rsid w:val="008470DA"/>
    <w:rsid w:val="00847F5E"/>
    <w:rsid w:val="008562B9"/>
    <w:rsid w:val="008E41CA"/>
    <w:rsid w:val="008F0034"/>
    <w:rsid w:val="00970660"/>
    <w:rsid w:val="009C3589"/>
    <w:rsid w:val="009C5880"/>
    <w:rsid w:val="009E74D8"/>
    <w:rsid w:val="00A53590"/>
    <w:rsid w:val="00A54055"/>
    <w:rsid w:val="00A95901"/>
    <w:rsid w:val="00AC6BCB"/>
    <w:rsid w:val="00AD71A5"/>
    <w:rsid w:val="00AE1D31"/>
    <w:rsid w:val="00B4607A"/>
    <w:rsid w:val="00B841BD"/>
    <w:rsid w:val="00B958CA"/>
    <w:rsid w:val="00BA64DC"/>
    <w:rsid w:val="00BB4D01"/>
    <w:rsid w:val="00BC1AEF"/>
    <w:rsid w:val="00BE4C1C"/>
    <w:rsid w:val="00C15B7D"/>
    <w:rsid w:val="00C173A9"/>
    <w:rsid w:val="00C46D0E"/>
    <w:rsid w:val="00C6380B"/>
    <w:rsid w:val="00C76F74"/>
    <w:rsid w:val="00C904F9"/>
    <w:rsid w:val="00CF5437"/>
    <w:rsid w:val="00D233ED"/>
    <w:rsid w:val="00D46159"/>
    <w:rsid w:val="00D540BE"/>
    <w:rsid w:val="00D80C7E"/>
    <w:rsid w:val="00D86E08"/>
    <w:rsid w:val="00D958AB"/>
    <w:rsid w:val="00DC7A7D"/>
    <w:rsid w:val="00E17C77"/>
    <w:rsid w:val="00E6783D"/>
    <w:rsid w:val="00EA2509"/>
    <w:rsid w:val="00EC62C1"/>
    <w:rsid w:val="00ED01F9"/>
    <w:rsid w:val="00EE331D"/>
    <w:rsid w:val="00F12D4E"/>
    <w:rsid w:val="00F2734F"/>
    <w:rsid w:val="00F3069D"/>
    <w:rsid w:val="00F45E6B"/>
    <w:rsid w:val="00F57CF3"/>
    <w:rsid w:val="00F622D6"/>
    <w:rsid w:val="00F66284"/>
    <w:rsid w:val="00F852AB"/>
    <w:rsid w:val="00FD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D507"/>
  <w15:docId w15:val="{B8D87443-2397-4DD5-A262-9F43509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004E5"/>
    <w:pPr>
      <w:tabs>
        <w:tab w:val="center" w:pos="4252"/>
        <w:tab w:val="right" w:pos="8504"/>
      </w:tabs>
      <w:spacing w:after="0" w:line="240" w:lineRule="auto"/>
    </w:pPr>
    <w:rPr>
      <w:rFonts w:ascii="Calibri" w:eastAsia="Calibri" w:hAnsi="Calibri" w:cs="Times New Roman"/>
      <w:lang w:val="es-ES"/>
    </w:rPr>
  </w:style>
  <w:style w:type="character" w:customStyle="1" w:styleId="a4">
    <w:name w:val="Нижний колонтитул Знак"/>
    <w:basedOn w:val="a0"/>
    <w:link w:val="a3"/>
    <w:uiPriority w:val="99"/>
    <w:rsid w:val="008004E5"/>
    <w:rPr>
      <w:rFonts w:ascii="Calibri" w:eastAsia="Calibri" w:hAnsi="Calibri" w:cs="Times New Roman"/>
      <w:lang w:val="es-ES"/>
    </w:rPr>
  </w:style>
  <w:style w:type="paragraph" w:styleId="a5">
    <w:name w:val="No Spacing"/>
    <w:aliases w:val="Body copy"/>
    <w:basedOn w:val="a"/>
    <w:uiPriority w:val="1"/>
    <w:qFormat/>
    <w:rsid w:val="0059007E"/>
    <w:pPr>
      <w:spacing w:line="360" w:lineRule="exact"/>
    </w:pPr>
    <w:rPr>
      <w:rFonts w:ascii="Helvetica" w:hAnsi="Helvetica"/>
      <w:sz w:val="28"/>
      <w:szCs w:val="28"/>
    </w:rPr>
  </w:style>
  <w:style w:type="character" w:styleId="a6">
    <w:name w:val="Hyperlink"/>
    <w:uiPriority w:val="99"/>
    <w:unhideWhenUsed/>
    <w:rsid w:val="0059007E"/>
    <w:rPr>
      <w:rFonts w:ascii="Helvetica" w:hAnsi="Helvetica"/>
      <w:sz w:val="28"/>
      <w:szCs w:val="28"/>
    </w:rPr>
  </w:style>
  <w:style w:type="paragraph" w:styleId="a7">
    <w:name w:val="Title"/>
    <w:basedOn w:val="a"/>
    <w:next w:val="a"/>
    <w:link w:val="a8"/>
    <w:uiPriority w:val="10"/>
    <w:qFormat/>
    <w:rsid w:val="0059007E"/>
    <w:pPr>
      <w:spacing w:after="300" w:line="240" w:lineRule="auto"/>
    </w:pPr>
    <w:rPr>
      <w:rFonts w:ascii="Helvetica" w:hAnsi="Helvetica"/>
      <w:b/>
      <w:color w:val="0054A6"/>
      <w:sz w:val="42"/>
      <w:szCs w:val="42"/>
    </w:rPr>
  </w:style>
  <w:style w:type="character" w:customStyle="1" w:styleId="a8">
    <w:name w:val="Название Знак"/>
    <w:basedOn w:val="a0"/>
    <w:link w:val="a7"/>
    <w:uiPriority w:val="10"/>
    <w:rsid w:val="0059007E"/>
    <w:rPr>
      <w:rFonts w:ascii="Helvetica" w:hAnsi="Helvetica"/>
      <w:b/>
      <w:color w:val="0054A6"/>
      <w:sz w:val="42"/>
      <w:szCs w:val="42"/>
    </w:rPr>
  </w:style>
  <w:style w:type="paragraph" w:customStyle="1" w:styleId="authorinfo">
    <w:name w:val="author info"/>
    <w:basedOn w:val="a"/>
    <w:qFormat/>
    <w:rsid w:val="0059007E"/>
    <w:pPr>
      <w:spacing w:after="0" w:line="320" w:lineRule="exact"/>
    </w:pPr>
    <w:rPr>
      <w:rFonts w:ascii="Helvetica" w:hAnsi="Helvetica"/>
      <w:sz w:val="24"/>
      <w:szCs w:val="24"/>
    </w:rPr>
  </w:style>
  <w:style w:type="paragraph" w:customStyle="1" w:styleId="referencecopy">
    <w:name w:val="reference copy"/>
    <w:basedOn w:val="a"/>
    <w:qFormat/>
    <w:rsid w:val="00811D33"/>
    <w:pPr>
      <w:spacing w:after="0" w:line="240" w:lineRule="auto"/>
    </w:pPr>
    <w:rPr>
      <w:rFonts w:ascii="Helvetica" w:hAnsi="Helvetica"/>
    </w:rPr>
  </w:style>
  <w:style w:type="paragraph" w:styleId="a9">
    <w:name w:val="Balloon Text"/>
    <w:basedOn w:val="a"/>
    <w:link w:val="aa"/>
    <w:uiPriority w:val="99"/>
    <w:semiHidden/>
    <w:unhideWhenUsed/>
    <w:rsid w:val="009706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70660"/>
    <w:rPr>
      <w:rFonts w:ascii="Tahoma" w:hAnsi="Tahoma" w:cs="Tahoma"/>
      <w:sz w:val="16"/>
      <w:szCs w:val="16"/>
    </w:rPr>
  </w:style>
  <w:style w:type="paragraph" w:styleId="ab">
    <w:name w:val="header"/>
    <w:basedOn w:val="a"/>
    <w:link w:val="ac"/>
    <w:uiPriority w:val="99"/>
    <w:unhideWhenUsed/>
    <w:rsid w:val="002A048B"/>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2A048B"/>
  </w:style>
  <w:style w:type="character" w:styleId="ad">
    <w:name w:val="annotation reference"/>
    <w:basedOn w:val="a0"/>
    <w:uiPriority w:val="99"/>
    <w:semiHidden/>
    <w:unhideWhenUsed/>
    <w:rsid w:val="006C20FF"/>
    <w:rPr>
      <w:sz w:val="16"/>
      <w:szCs w:val="16"/>
    </w:rPr>
  </w:style>
  <w:style w:type="paragraph" w:styleId="ae">
    <w:name w:val="annotation text"/>
    <w:basedOn w:val="a"/>
    <w:link w:val="af"/>
    <w:uiPriority w:val="99"/>
    <w:semiHidden/>
    <w:unhideWhenUsed/>
    <w:rsid w:val="006C20FF"/>
    <w:pPr>
      <w:spacing w:line="240" w:lineRule="auto"/>
    </w:pPr>
    <w:rPr>
      <w:sz w:val="20"/>
      <w:szCs w:val="20"/>
    </w:rPr>
  </w:style>
  <w:style w:type="character" w:customStyle="1" w:styleId="af">
    <w:name w:val="Текст примечания Знак"/>
    <w:basedOn w:val="a0"/>
    <w:link w:val="ae"/>
    <w:uiPriority w:val="99"/>
    <w:semiHidden/>
    <w:rsid w:val="006C20FF"/>
    <w:rPr>
      <w:sz w:val="20"/>
      <w:szCs w:val="20"/>
    </w:rPr>
  </w:style>
  <w:style w:type="paragraph" w:styleId="af0">
    <w:name w:val="annotation subject"/>
    <w:basedOn w:val="ae"/>
    <w:next w:val="ae"/>
    <w:link w:val="af1"/>
    <w:uiPriority w:val="99"/>
    <w:semiHidden/>
    <w:unhideWhenUsed/>
    <w:rsid w:val="006C20FF"/>
    <w:rPr>
      <w:b/>
      <w:bCs/>
    </w:rPr>
  </w:style>
  <w:style w:type="character" w:customStyle="1" w:styleId="af1">
    <w:name w:val="Тема примечания Знак"/>
    <w:basedOn w:val="af"/>
    <w:link w:val="af0"/>
    <w:uiPriority w:val="99"/>
    <w:semiHidden/>
    <w:rsid w:val="006C20FF"/>
    <w:rPr>
      <w:b/>
      <w:bCs/>
      <w:sz w:val="20"/>
      <w:szCs w:val="20"/>
    </w:rPr>
  </w:style>
  <w:style w:type="paragraph" w:styleId="af2">
    <w:name w:val="Revision"/>
    <w:hidden/>
    <w:uiPriority w:val="99"/>
    <w:semiHidden/>
    <w:rsid w:val="006C20FF"/>
    <w:pPr>
      <w:spacing w:after="0" w:line="240" w:lineRule="auto"/>
    </w:pPr>
  </w:style>
  <w:style w:type="paragraph" w:styleId="af3">
    <w:name w:val="List Paragraph"/>
    <w:basedOn w:val="a"/>
    <w:uiPriority w:val="34"/>
    <w:qFormat/>
    <w:rsid w:val="001850CB"/>
    <w:pPr>
      <w:ind w:left="720"/>
      <w:contextualSpacing/>
    </w:pPr>
  </w:style>
  <w:style w:type="paragraph" w:styleId="af4">
    <w:name w:val="Normal (Web)"/>
    <w:basedOn w:val="a"/>
    <w:uiPriority w:val="99"/>
    <w:semiHidden/>
    <w:unhideWhenUsed/>
    <w:rsid w:val="008F00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8F0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718770">
      <w:bodyDiv w:val="1"/>
      <w:marLeft w:val="0"/>
      <w:marRight w:val="0"/>
      <w:marTop w:val="0"/>
      <w:marBottom w:val="0"/>
      <w:divBdr>
        <w:top w:val="none" w:sz="0" w:space="0" w:color="auto"/>
        <w:left w:val="none" w:sz="0" w:space="0" w:color="auto"/>
        <w:bottom w:val="none" w:sz="0" w:space="0" w:color="auto"/>
        <w:right w:val="none" w:sz="0" w:space="0" w:color="auto"/>
      </w:divBdr>
    </w:div>
    <w:div w:id="1189903535">
      <w:bodyDiv w:val="1"/>
      <w:marLeft w:val="0"/>
      <w:marRight w:val="0"/>
      <w:marTop w:val="0"/>
      <w:marBottom w:val="0"/>
      <w:divBdr>
        <w:top w:val="none" w:sz="0" w:space="0" w:color="auto"/>
        <w:left w:val="none" w:sz="0" w:space="0" w:color="auto"/>
        <w:bottom w:val="none" w:sz="0" w:space="0" w:color="auto"/>
        <w:right w:val="none" w:sz="0" w:space="0" w:color="auto"/>
      </w:divBdr>
    </w:div>
    <w:div w:id="1649744501">
      <w:bodyDiv w:val="1"/>
      <w:marLeft w:val="0"/>
      <w:marRight w:val="0"/>
      <w:marTop w:val="0"/>
      <w:marBottom w:val="0"/>
      <w:divBdr>
        <w:top w:val="none" w:sz="0" w:space="0" w:color="auto"/>
        <w:left w:val="none" w:sz="0" w:space="0" w:color="auto"/>
        <w:bottom w:val="none" w:sz="0" w:space="0" w:color="auto"/>
        <w:right w:val="none" w:sz="0" w:space="0" w:color="auto"/>
      </w:divBdr>
    </w:div>
    <w:div w:id="185711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334</Words>
  <Characters>1905</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Tranter, Robert Simon</dc:creator>
  <cp:lastModifiedBy>Julsven Yulia</cp:lastModifiedBy>
  <cp:revision>9</cp:revision>
  <cp:lastPrinted>2017-03-24T17:10:00Z</cp:lastPrinted>
  <dcterms:created xsi:type="dcterms:W3CDTF">2023-08-22T13:06:00Z</dcterms:created>
  <dcterms:modified xsi:type="dcterms:W3CDTF">2023-08-22T13:58:00Z</dcterms:modified>
</cp:coreProperties>
</file>