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73" w:rsidRPr="004A2673" w:rsidRDefault="004A2673" w:rsidP="004A2673">
      <w:pPr>
        <w:spacing w:before="120"/>
        <w:jc w:val="center"/>
        <w:rPr>
          <w:b/>
          <w:bCs/>
          <w:sz w:val="32"/>
          <w:szCs w:val="22"/>
        </w:rPr>
      </w:pPr>
      <w:r w:rsidRPr="004A2673">
        <w:rPr>
          <w:b/>
          <w:bCs/>
          <w:sz w:val="32"/>
          <w:szCs w:val="22"/>
        </w:rPr>
        <w:t>Tunable Spiral Zone Plates for THz Vortex Optical Beam Generation</w:t>
      </w:r>
    </w:p>
    <w:p w:rsidR="004B6C91" w:rsidRDefault="0018103C" w:rsidP="0018103C">
      <w:pPr>
        <w:pStyle w:val="Standard"/>
        <w:spacing w:before="120"/>
        <w:ind w:left="360"/>
        <w:jc w:val="center"/>
        <w:rPr>
          <w:b/>
          <w:bCs/>
          <w:sz w:val="22"/>
          <w:szCs w:val="22"/>
          <w:lang w:val="lt-LT"/>
        </w:rPr>
      </w:pPr>
      <w:bookmarkStart w:id="0" w:name="_GoBack"/>
      <w:r w:rsidRPr="0018103C">
        <w:rPr>
          <w:b/>
          <w:bCs/>
          <w:sz w:val="22"/>
          <w:szCs w:val="22"/>
          <w:lang w:val="lt-LT"/>
        </w:rPr>
        <w:t xml:space="preserve">A. </w:t>
      </w:r>
      <w:r w:rsidR="004B6C91" w:rsidRPr="004B6C91">
        <w:rPr>
          <w:b/>
          <w:bCs/>
          <w:sz w:val="22"/>
          <w:szCs w:val="22"/>
          <w:lang w:val="lt-LT"/>
        </w:rPr>
        <w:t>V. Radivon,</w:t>
      </w:r>
      <w:r w:rsidR="001A701F" w:rsidRPr="001A701F">
        <w:rPr>
          <w:b/>
          <w:bCs/>
          <w:sz w:val="22"/>
          <w:szCs w:val="22"/>
          <w:vertAlign w:val="superscript"/>
          <w:lang w:val="lt-LT"/>
        </w:rPr>
        <w:t>1</w:t>
      </w:r>
      <w:r w:rsidR="001118AF" w:rsidRPr="00482F67">
        <w:rPr>
          <w:b/>
          <w:bCs/>
          <w:sz w:val="22"/>
          <w:szCs w:val="22"/>
          <w:vertAlign w:val="superscript"/>
          <w:lang w:val="lt-LT"/>
        </w:rPr>
        <w:t>,*</w:t>
      </w:r>
      <w:r w:rsidR="004B6C91" w:rsidRPr="004B6C91">
        <w:rPr>
          <w:b/>
          <w:bCs/>
          <w:sz w:val="22"/>
          <w:szCs w:val="22"/>
          <w:lang w:val="lt-LT"/>
        </w:rPr>
        <w:t xml:space="preserve"> A. V. Chernykh,</w:t>
      </w:r>
      <w:r w:rsidR="001A701F" w:rsidRPr="001A701F">
        <w:rPr>
          <w:b/>
          <w:bCs/>
          <w:sz w:val="22"/>
          <w:szCs w:val="22"/>
          <w:vertAlign w:val="superscript"/>
          <w:lang w:val="lt-LT"/>
        </w:rPr>
        <w:t>2</w:t>
      </w:r>
      <w:r w:rsidR="004B6C91" w:rsidRPr="004B6C91">
        <w:rPr>
          <w:b/>
          <w:bCs/>
          <w:sz w:val="22"/>
          <w:szCs w:val="22"/>
          <w:lang w:val="lt-LT"/>
        </w:rPr>
        <w:t xml:space="preserve"> A. S. Ezerskii,</w:t>
      </w:r>
      <w:r w:rsidR="001A701F" w:rsidRPr="001A701F">
        <w:rPr>
          <w:b/>
          <w:bCs/>
          <w:sz w:val="22"/>
          <w:szCs w:val="22"/>
          <w:vertAlign w:val="superscript"/>
          <w:lang w:val="lt-LT"/>
        </w:rPr>
        <w:t>2</w:t>
      </w:r>
      <w:r w:rsidR="004B6C91" w:rsidRPr="004B6C91">
        <w:rPr>
          <w:b/>
          <w:bCs/>
          <w:sz w:val="22"/>
          <w:szCs w:val="22"/>
          <w:lang w:val="lt-LT"/>
        </w:rPr>
        <w:t xml:space="preserve"> N. V. Petrov,</w:t>
      </w:r>
      <w:r w:rsidR="001A701F" w:rsidRPr="001A701F">
        <w:rPr>
          <w:b/>
          <w:bCs/>
          <w:sz w:val="22"/>
          <w:szCs w:val="22"/>
          <w:vertAlign w:val="superscript"/>
          <w:lang w:val="lt-LT"/>
        </w:rPr>
        <w:t>2</w:t>
      </w:r>
      <w:r w:rsidR="004B6C91" w:rsidRPr="004B6C91">
        <w:rPr>
          <w:b/>
          <w:bCs/>
          <w:sz w:val="22"/>
          <w:szCs w:val="22"/>
          <w:lang w:val="lt-LT"/>
        </w:rPr>
        <w:t xml:space="preserve"> N. I. Raginov,</w:t>
      </w:r>
      <w:r w:rsidR="001A701F" w:rsidRPr="001A701F">
        <w:rPr>
          <w:b/>
          <w:bCs/>
          <w:sz w:val="22"/>
          <w:szCs w:val="22"/>
          <w:vertAlign w:val="superscript"/>
          <w:lang w:val="lt-LT"/>
        </w:rPr>
        <w:t>3</w:t>
      </w:r>
      <w:r w:rsidR="004B6C91" w:rsidRPr="004B6C91">
        <w:rPr>
          <w:b/>
          <w:bCs/>
          <w:sz w:val="22"/>
          <w:szCs w:val="22"/>
          <w:lang w:val="lt-LT"/>
        </w:rPr>
        <w:t xml:space="preserve"> D. V. Krasnikov,</w:t>
      </w:r>
      <w:r w:rsidR="001A701F" w:rsidRPr="001A701F">
        <w:rPr>
          <w:b/>
          <w:bCs/>
          <w:sz w:val="22"/>
          <w:szCs w:val="22"/>
          <w:vertAlign w:val="superscript"/>
          <w:lang w:val="lt-LT"/>
        </w:rPr>
        <w:t>3</w:t>
      </w:r>
      <w:r w:rsidR="004B6C91" w:rsidRPr="004B6C91">
        <w:rPr>
          <w:b/>
          <w:bCs/>
          <w:sz w:val="22"/>
          <w:szCs w:val="22"/>
          <w:lang w:val="lt-LT"/>
        </w:rPr>
        <w:t xml:space="preserve"> A. G. Nasibulin,</w:t>
      </w:r>
      <w:r w:rsidR="001A701F" w:rsidRPr="001A701F">
        <w:rPr>
          <w:b/>
          <w:bCs/>
          <w:sz w:val="22"/>
          <w:szCs w:val="22"/>
          <w:vertAlign w:val="superscript"/>
          <w:lang w:val="lt-LT"/>
        </w:rPr>
        <w:t>3</w:t>
      </w:r>
      <w:r w:rsidR="004B6C91" w:rsidRPr="004B6C91">
        <w:rPr>
          <w:b/>
          <w:bCs/>
          <w:sz w:val="22"/>
          <w:szCs w:val="22"/>
          <w:lang w:val="lt-LT"/>
        </w:rPr>
        <w:t xml:space="preserve"> </w:t>
      </w:r>
      <w:r w:rsidR="00E757EA" w:rsidRPr="00E757EA">
        <w:rPr>
          <w:b/>
          <w:bCs/>
          <w:sz w:val="22"/>
          <w:szCs w:val="22"/>
          <w:lang w:val="lt-LT"/>
        </w:rPr>
        <w:t>A. V.Arsenin,</w:t>
      </w:r>
      <w:r w:rsidR="001A701F" w:rsidRPr="001A701F">
        <w:rPr>
          <w:b/>
          <w:bCs/>
          <w:sz w:val="22"/>
          <w:szCs w:val="22"/>
          <w:vertAlign w:val="superscript"/>
          <w:lang w:val="lt-LT"/>
        </w:rPr>
        <w:t>1</w:t>
      </w:r>
      <w:r w:rsidR="001A701F">
        <w:rPr>
          <w:b/>
          <w:bCs/>
          <w:sz w:val="22"/>
          <w:szCs w:val="22"/>
          <w:vertAlign w:val="superscript"/>
          <w:lang w:val="lt-LT"/>
        </w:rPr>
        <w:t>,</w:t>
      </w:r>
      <w:r w:rsidR="001A701F" w:rsidRPr="001A701F">
        <w:rPr>
          <w:b/>
          <w:bCs/>
          <w:sz w:val="22"/>
          <w:szCs w:val="22"/>
          <w:vertAlign w:val="superscript"/>
          <w:lang w:val="lt-LT"/>
        </w:rPr>
        <w:t>4</w:t>
      </w:r>
      <w:r w:rsidR="00E757EA" w:rsidRPr="00E757EA">
        <w:rPr>
          <w:b/>
          <w:bCs/>
          <w:sz w:val="22"/>
          <w:szCs w:val="22"/>
          <w:vertAlign w:val="superscript"/>
          <w:lang w:val="lt-LT"/>
        </w:rPr>
        <w:t>,</w:t>
      </w:r>
      <w:r w:rsidR="00E757EA" w:rsidRPr="00E757EA">
        <w:rPr>
          <w:b/>
          <w:bCs/>
          <w:sz w:val="22"/>
          <w:szCs w:val="22"/>
          <w:lang w:val="lt-LT"/>
        </w:rPr>
        <w:t xml:space="preserve"> V.S. Volkov,</w:t>
      </w:r>
      <w:r w:rsidR="001A701F" w:rsidRPr="001A701F">
        <w:rPr>
          <w:b/>
          <w:bCs/>
          <w:sz w:val="22"/>
          <w:szCs w:val="22"/>
          <w:vertAlign w:val="superscript"/>
          <w:lang w:val="lt-LT"/>
        </w:rPr>
        <w:t>1</w:t>
      </w:r>
      <w:r w:rsidR="001A701F">
        <w:rPr>
          <w:b/>
          <w:bCs/>
          <w:sz w:val="22"/>
          <w:szCs w:val="22"/>
          <w:vertAlign w:val="superscript"/>
          <w:lang w:val="lt-LT"/>
        </w:rPr>
        <w:t>,</w:t>
      </w:r>
      <w:r w:rsidR="001A701F" w:rsidRPr="001A701F">
        <w:rPr>
          <w:b/>
          <w:bCs/>
          <w:sz w:val="22"/>
          <w:szCs w:val="22"/>
          <w:vertAlign w:val="superscript"/>
          <w:lang w:val="lt-LT"/>
        </w:rPr>
        <w:t>4</w:t>
      </w:r>
      <w:r w:rsidR="00E757EA">
        <w:rPr>
          <w:b/>
          <w:bCs/>
          <w:sz w:val="22"/>
          <w:szCs w:val="22"/>
          <w:lang w:val="lt-LT"/>
        </w:rPr>
        <w:t xml:space="preserve"> K.I. Zaytsev,</w:t>
      </w:r>
      <w:r w:rsidR="001A701F" w:rsidRPr="001A701F">
        <w:rPr>
          <w:b/>
          <w:bCs/>
          <w:sz w:val="22"/>
          <w:szCs w:val="22"/>
          <w:vertAlign w:val="superscript"/>
          <w:lang w:val="lt-LT"/>
        </w:rPr>
        <w:t>5</w:t>
      </w:r>
      <w:r w:rsidR="00E757EA">
        <w:rPr>
          <w:b/>
          <w:bCs/>
          <w:sz w:val="22"/>
          <w:szCs w:val="22"/>
          <w:lang w:val="lt-LT"/>
        </w:rPr>
        <w:t xml:space="preserve"> </w:t>
      </w:r>
      <w:r w:rsidR="004B6C91" w:rsidRPr="004B6C91">
        <w:rPr>
          <w:b/>
          <w:bCs/>
          <w:sz w:val="22"/>
          <w:szCs w:val="22"/>
          <w:lang w:val="lt-LT"/>
        </w:rPr>
        <w:t>Gleb M. Katyba,</w:t>
      </w:r>
      <w:r w:rsidR="001A701F" w:rsidRPr="001A701F">
        <w:rPr>
          <w:b/>
          <w:bCs/>
          <w:sz w:val="22"/>
          <w:szCs w:val="22"/>
          <w:vertAlign w:val="superscript"/>
          <w:lang w:val="lt-LT"/>
        </w:rPr>
        <w:t>5</w:t>
      </w:r>
      <w:r w:rsidR="001A701F">
        <w:rPr>
          <w:b/>
          <w:bCs/>
          <w:sz w:val="22"/>
          <w:szCs w:val="22"/>
          <w:vertAlign w:val="superscript"/>
          <w:lang w:val="lt-LT"/>
        </w:rPr>
        <w:t xml:space="preserve">, </w:t>
      </w:r>
      <w:r w:rsidR="001A701F" w:rsidRPr="001A701F">
        <w:rPr>
          <w:b/>
          <w:bCs/>
          <w:sz w:val="22"/>
          <w:szCs w:val="22"/>
          <w:vertAlign w:val="superscript"/>
          <w:lang w:val="lt-LT"/>
        </w:rPr>
        <w:t>6</w:t>
      </w:r>
      <w:r w:rsidR="004B6C91" w:rsidRPr="004B6C91">
        <w:rPr>
          <w:b/>
          <w:bCs/>
          <w:sz w:val="22"/>
          <w:szCs w:val="22"/>
          <w:lang w:val="lt-LT"/>
        </w:rPr>
        <w:t xml:space="preserve">  and M. G. Burdanova</w:t>
      </w:r>
      <w:r w:rsidR="001A701F" w:rsidRPr="001A701F">
        <w:rPr>
          <w:b/>
          <w:bCs/>
          <w:sz w:val="22"/>
          <w:szCs w:val="22"/>
          <w:vertAlign w:val="superscript"/>
          <w:lang w:val="lt-LT"/>
        </w:rPr>
        <w:t>1</w:t>
      </w:r>
      <w:r w:rsidR="001A701F">
        <w:rPr>
          <w:b/>
          <w:bCs/>
          <w:sz w:val="22"/>
          <w:szCs w:val="22"/>
          <w:vertAlign w:val="superscript"/>
          <w:lang w:val="lt-LT"/>
        </w:rPr>
        <w:t xml:space="preserve">, </w:t>
      </w:r>
      <w:r w:rsidR="001A701F" w:rsidRPr="001A701F">
        <w:rPr>
          <w:b/>
          <w:bCs/>
          <w:sz w:val="22"/>
          <w:szCs w:val="22"/>
          <w:vertAlign w:val="superscript"/>
          <w:lang w:val="lt-LT"/>
        </w:rPr>
        <w:t>5</w:t>
      </w:r>
      <w:r w:rsidR="001A701F">
        <w:rPr>
          <w:b/>
          <w:bCs/>
          <w:sz w:val="22"/>
          <w:szCs w:val="22"/>
          <w:vertAlign w:val="superscript"/>
          <w:lang w:val="lt-LT"/>
        </w:rPr>
        <w:t xml:space="preserve">, </w:t>
      </w:r>
      <w:r w:rsidR="001A701F" w:rsidRPr="001A701F">
        <w:rPr>
          <w:b/>
          <w:bCs/>
          <w:sz w:val="22"/>
          <w:szCs w:val="22"/>
          <w:vertAlign w:val="superscript"/>
          <w:lang w:val="lt-LT"/>
        </w:rPr>
        <w:t>6</w:t>
      </w:r>
    </w:p>
    <w:p w:rsidR="001A701F" w:rsidRPr="001A701F" w:rsidRDefault="001A701F" w:rsidP="001A701F">
      <w:pPr>
        <w:pStyle w:val="Standard"/>
        <w:ind w:left="720"/>
        <w:jc w:val="center"/>
        <w:rPr>
          <w:i/>
          <w:iCs/>
          <w:sz w:val="20"/>
          <w:szCs w:val="20"/>
          <w:lang w:val="en-US"/>
        </w:rPr>
      </w:pPr>
      <w:r w:rsidRPr="001A701F">
        <w:rPr>
          <w:i/>
          <w:iCs/>
          <w:sz w:val="20"/>
          <w:szCs w:val="20"/>
          <w:lang w:val="en-US"/>
        </w:rPr>
        <w:t>1</w:t>
      </w:r>
      <w:r>
        <w:rPr>
          <w:i/>
          <w:iCs/>
          <w:sz w:val="20"/>
          <w:szCs w:val="20"/>
          <w:lang w:val="en-CA"/>
        </w:rPr>
        <w:t xml:space="preserve"> -</w:t>
      </w:r>
      <w:r w:rsidRPr="004B6C91">
        <w:rPr>
          <w:i/>
          <w:iCs/>
          <w:sz w:val="20"/>
          <w:szCs w:val="20"/>
          <w:lang w:val="en-CA"/>
        </w:rPr>
        <w:t xml:space="preserve"> Center for Photonics and 2D Materials, Moscow Institute of Physics and Technology, 9 </w:t>
      </w:r>
      <w:proofErr w:type="spellStart"/>
      <w:r w:rsidRPr="004B6C91">
        <w:rPr>
          <w:i/>
          <w:iCs/>
          <w:sz w:val="20"/>
          <w:szCs w:val="20"/>
          <w:lang w:val="en-CA"/>
        </w:rPr>
        <w:t>Institut</w:t>
      </w:r>
      <w:r>
        <w:rPr>
          <w:i/>
          <w:iCs/>
          <w:sz w:val="20"/>
          <w:szCs w:val="20"/>
          <w:lang w:val="en-CA"/>
        </w:rPr>
        <w:t>skiy</w:t>
      </w:r>
      <w:proofErr w:type="spellEnd"/>
      <w:r>
        <w:rPr>
          <w:i/>
          <w:iCs/>
          <w:sz w:val="20"/>
          <w:szCs w:val="20"/>
          <w:lang w:val="en-CA"/>
        </w:rPr>
        <w:t xml:space="preserve"> </w:t>
      </w:r>
      <w:proofErr w:type="gramStart"/>
      <w:r>
        <w:rPr>
          <w:i/>
          <w:iCs/>
          <w:sz w:val="20"/>
          <w:szCs w:val="20"/>
          <w:lang w:val="en-CA"/>
        </w:rPr>
        <w:t>lane</w:t>
      </w:r>
      <w:proofErr w:type="gramEnd"/>
      <w:r>
        <w:rPr>
          <w:i/>
          <w:iCs/>
          <w:sz w:val="20"/>
          <w:szCs w:val="20"/>
          <w:lang w:val="en-CA"/>
        </w:rPr>
        <w:t xml:space="preserve">, </w:t>
      </w:r>
      <w:proofErr w:type="spellStart"/>
      <w:r>
        <w:rPr>
          <w:i/>
          <w:iCs/>
          <w:sz w:val="20"/>
          <w:szCs w:val="20"/>
          <w:lang w:val="en-CA"/>
        </w:rPr>
        <w:t>Dolgoprudny</w:t>
      </w:r>
      <w:proofErr w:type="spellEnd"/>
      <w:r>
        <w:rPr>
          <w:i/>
          <w:iCs/>
          <w:sz w:val="20"/>
          <w:szCs w:val="20"/>
          <w:lang w:val="en-CA"/>
        </w:rPr>
        <w:t xml:space="preserve">, 141701, </w:t>
      </w:r>
      <w:r w:rsidRPr="004B6C91">
        <w:rPr>
          <w:i/>
          <w:iCs/>
          <w:sz w:val="20"/>
          <w:szCs w:val="20"/>
          <w:lang w:val="en-CA"/>
        </w:rPr>
        <w:t>Russia</w:t>
      </w:r>
    </w:p>
    <w:p w:rsidR="004B6C91" w:rsidRPr="004B6C91" w:rsidRDefault="001A701F" w:rsidP="004B6C91">
      <w:pPr>
        <w:pStyle w:val="Standard"/>
        <w:jc w:val="center"/>
        <w:rPr>
          <w:i/>
          <w:iCs/>
          <w:sz w:val="20"/>
          <w:szCs w:val="20"/>
          <w:lang w:val="en-CA"/>
        </w:rPr>
      </w:pPr>
      <w:r w:rsidRPr="001A701F">
        <w:rPr>
          <w:i/>
          <w:iCs/>
          <w:sz w:val="20"/>
          <w:szCs w:val="20"/>
          <w:lang w:val="en-US"/>
        </w:rPr>
        <w:t>2</w:t>
      </w:r>
      <w:r w:rsidR="004B6C91">
        <w:rPr>
          <w:i/>
          <w:iCs/>
          <w:sz w:val="20"/>
          <w:szCs w:val="20"/>
          <w:lang w:val="en-CA"/>
        </w:rPr>
        <w:t xml:space="preserve"> - </w:t>
      </w:r>
      <w:r w:rsidR="004B6C91" w:rsidRPr="004B6C91">
        <w:rPr>
          <w:i/>
          <w:iCs/>
          <w:sz w:val="20"/>
          <w:szCs w:val="20"/>
          <w:lang w:val="en-CA"/>
        </w:rPr>
        <w:t>ITMO University, St. Petersburg, 191002, Russia</w:t>
      </w:r>
    </w:p>
    <w:p w:rsidR="004B6C91" w:rsidRDefault="001A701F" w:rsidP="004B6C91">
      <w:pPr>
        <w:pStyle w:val="Standard"/>
        <w:jc w:val="center"/>
        <w:rPr>
          <w:i/>
          <w:iCs/>
          <w:sz w:val="20"/>
          <w:szCs w:val="20"/>
          <w:lang w:val="en-CA"/>
        </w:rPr>
      </w:pPr>
      <w:r w:rsidRPr="001A701F">
        <w:rPr>
          <w:i/>
          <w:iCs/>
          <w:sz w:val="20"/>
          <w:szCs w:val="20"/>
          <w:lang w:val="en-US"/>
        </w:rPr>
        <w:t>3</w:t>
      </w:r>
      <w:r w:rsidR="004B6C91">
        <w:rPr>
          <w:i/>
          <w:iCs/>
          <w:sz w:val="20"/>
          <w:szCs w:val="20"/>
          <w:lang w:val="en-CA"/>
        </w:rPr>
        <w:t xml:space="preserve"> -</w:t>
      </w:r>
      <w:r w:rsidR="004B6C91" w:rsidRPr="004B6C91">
        <w:rPr>
          <w:i/>
          <w:iCs/>
          <w:sz w:val="20"/>
          <w:szCs w:val="20"/>
          <w:lang w:val="en-CA"/>
        </w:rPr>
        <w:t xml:space="preserve"> </w:t>
      </w:r>
      <w:proofErr w:type="spellStart"/>
      <w:r w:rsidR="004B6C91" w:rsidRPr="004B6C91">
        <w:rPr>
          <w:i/>
          <w:iCs/>
          <w:sz w:val="20"/>
          <w:szCs w:val="20"/>
          <w:lang w:val="en-CA"/>
        </w:rPr>
        <w:t>Skolkovo</w:t>
      </w:r>
      <w:proofErr w:type="spellEnd"/>
      <w:r w:rsidR="004B6C91" w:rsidRPr="004B6C91">
        <w:rPr>
          <w:i/>
          <w:iCs/>
          <w:sz w:val="20"/>
          <w:szCs w:val="20"/>
          <w:lang w:val="en-CA"/>
        </w:rPr>
        <w:t xml:space="preserve"> Institute of Science and Technology, Moscow, 121205, Russia</w:t>
      </w:r>
    </w:p>
    <w:p w:rsidR="001A701F" w:rsidRPr="001A701F" w:rsidRDefault="001A701F" w:rsidP="001A701F">
      <w:pPr>
        <w:pStyle w:val="Standard"/>
        <w:jc w:val="center"/>
        <w:rPr>
          <w:i/>
          <w:iCs/>
          <w:sz w:val="20"/>
          <w:szCs w:val="20"/>
          <w:lang w:val="en-US"/>
        </w:rPr>
      </w:pPr>
      <w:r w:rsidRPr="001A701F">
        <w:rPr>
          <w:i/>
          <w:iCs/>
          <w:sz w:val="20"/>
          <w:szCs w:val="20"/>
          <w:lang w:val="en-US"/>
        </w:rPr>
        <w:t>4</w:t>
      </w:r>
      <w:r w:rsidRPr="00482F67">
        <w:rPr>
          <w:i/>
          <w:iCs/>
          <w:sz w:val="20"/>
          <w:szCs w:val="20"/>
          <w:lang w:val="en-US"/>
        </w:rPr>
        <w:t xml:space="preserve"> - Emerging Technologies Research Center, XPANCEO, Dubai, United Arab Emirates</w:t>
      </w:r>
    </w:p>
    <w:p w:rsidR="004B6C91" w:rsidRPr="004B6C91" w:rsidRDefault="001A701F" w:rsidP="004B6C91">
      <w:pPr>
        <w:pStyle w:val="Standard"/>
        <w:jc w:val="center"/>
        <w:rPr>
          <w:i/>
          <w:iCs/>
          <w:sz w:val="20"/>
          <w:szCs w:val="20"/>
          <w:lang w:val="en-CA"/>
        </w:rPr>
      </w:pPr>
      <w:r w:rsidRPr="001A701F">
        <w:rPr>
          <w:i/>
          <w:iCs/>
          <w:sz w:val="20"/>
          <w:szCs w:val="20"/>
          <w:lang w:val="en-US"/>
        </w:rPr>
        <w:t>5</w:t>
      </w:r>
      <w:r w:rsidR="004B6C91">
        <w:rPr>
          <w:i/>
          <w:iCs/>
          <w:sz w:val="20"/>
          <w:szCs w:val="20"/>
          <w:lang w:val="en-CA"/>
        </w:rPr>
        <w:t xml:space="preserve"> -</w:t>
      </w:r>
      <w:r w:rsidR="004B6C91" w:rsidRPr="004B6C91">
        <w:rPr>
          <w:i/>
          <w:iCs/>
          <w:sz w:val="20"/>
          <w:szCs w:val="20"/>
          <w:lang w:val="en-CA"/>
        </w:rPr>
        <w:t xml:space="preserve"> Prokhorov General Physics Institute of the Russian Academy of Sciences, Moscow, 119991,</w:t>
      </w:r>
    </w:p>
    <w:p w:rsidR="004B6C91" w:rsidRPr="004B6C91" w:rsidRDefault="004B6C91" w:rsidP="004B6C91">
      <w:pPr>
        <w:pStyle w:val="Standard"/>
        <w:jc w:val="center"/>
        <w:rPr>
          <w:i/>
          <w:iCs/>
          <w:sz w:val="20"/>
          <w:szCs w:val="20"/>
          <w:lang w:val="en-CA"/>
        </w:rPr>
      </w:pPr>
      <w:r w:rsidRPr="004B6C91">
        <w:rPr>
          <w:i/>
          <w:iCs/>
          <w:sz w:val="20"/>
          <w:szCs w:val="20"/>
          <w:lang w:val="en-CA"/>
        </w:rPr>
        <w:t>Russia</w:t>
      </w:r>
    </w:p>
    <w:p w:rsidR="004B6C91" w:rsidRPr="004B6C91" w:rsidRDefault="001A701F" w:rsidP="004B6C91">
      <w:pPr>
        <w:pStyle w:val="Standard"/>
        <w:jc w:val="center"/>
        <w:rPr>
          <w:i/>
          <w:iCs/>
          <w:sz w:val="20"/>
          <w:szCs w:val="20"/>
          <w:lang w:val="en-CA"/>
        </w:rPr>
      </w:pPr>
      <w:r w:rsidRPr="001A701F">
        <w:rPr>
          <w:i/>
          <w:iCs/>
          <w:sz w:val="20"/>
          <w:szCs w:val="20"/>
          <w:lang w:val="en-US"/>
        </w:rPr>
        <w:t>6</w:t>
      </w:r>
      <w:r w:rsidR="004B6C91">
        <w:rPr>
          <w:i/>
          <w:iCs/>
          <w:sz w:val="20"/>
          <w:szCs w:val="20"/>
          <w:lang w:val="en-CA"/>
        </w:rPr>
        <w:t xml:space="preserve"> -</w:t>
      </w:r>
      <w:r w:rsidR="004B6C91" w:rsidRPr="004B6C91">
        <w:rPr>
          <w:i/>
          <w:iCs/>
          <w:sz w:val="20"/>
          <w:szCs w:val="20"/>
          <w:lang w:val="en-CA"/>
        </w:rPr>
        <w:t xml:space="preserve"> Institute of Solid State Physics of the Russian Academy of Sciences, </w:t>
      </w:r>
      <w:proofErr w:type="spellStart"/>
      <w:r w:rsidR="004B6C91" w:rsidRPr="004B6C91">
        <w:rPr>
          <w:i/>
          <w:iCs/>
          <w:sz w:val="20"/>
          <w:szCs w:val="20"/>
          <w:lang w:val="en-CA"/>
        </w:rPr>
        <w:t>Chernogolovka</w:t>
      </w:r>
      <w:proofErr w:type="spellEnd"/>
      <w:r w:rsidR="004B6C91" w:rsidRPr="004B6C91">
        <w:rPr>
          <w:i/>
          <w:iCs/>
          <w:sz w:val="20"/>
          <w:szCs w:val="20"/>
          <w:lang w:val="en-CA"/>
        </w:rPr>
        <w:t>, 142432,</w:t>
      </w:r>
    </w:p>
    <w:p w:rsidR="004B6C91" w:rsidRPr="004B6C91" w:rsidRDefault="004B6C91" w:rsidP="004B6C91">
      <w:pPr>
        <w:pStyle w:val="Standard"/>
        <w:jc w:val="center"/>
        <w:rPr>
          <w:i/>
          <w:iCs/>
          <w:sz w:val="20"/>
          <w:szCs w:val="20"/>
          <w:lang w:val="en-CA"/>
        </w:rPr>
      </w:pPr>
      <w:r w:rsidRPr="004B6C91">
        <w:rPr>
          <w:i/>
          <w:iCs/>
          <w:sz w:val="20"/>
          <w:szCs w:val="20"/>
          <w:lang w:val="en-CA"/>
        </w:rPr>
        <w:t>Russia</w:t>
      </w:r>
    </w:p>
    <w:bookmarkEnd w:id="0"/>
    <w:p w:rsidR="001118AF" w:rsidRPr="004B6C91" w:rsidRDefault="001118AF" w:rsidP="004B6C91">
      <w:pPr>
        <w:pStyle w:val="Standard"/>
        <w:jc w:val="center"/>
        <w:rPr>
          <w:i/>
          <w:iCs/>
          <w:sz w:val="20"/>
          <w:szCs w:val="20"/>
          <w:lang w:val="en-CA"/>
        </w:rPr>
      </w:pPr>
    </w:p>
    <w:p w:rsidR="00EE0971" w:rsidRDefault="000B184E">
      <w:pPr>
        <w:pStyle w:val="Standard"/>
        <w:jc w:val="center"/>
        <w:rPr>
          <w:i/>
          <w:iCs/>
          <w:sz w:val="20"/>
          <w:szCs w:val="20"/>
          <w:lang w:val="en-CA"/>
        </w:rPr>
      </w:pPr>
      <w:r>
        <w:rPr>
          <w:i/>
          <w:iCs/>
          <w:sz w:val="20"/>
          <w:szCs w:val="20"/>
          <w:vertAlign w:val="superscript"/>
          <w:lang w:val="en-CA"/>
        </w:rPr>
        <w:t>*</w:t>
      </w:r>
      <w:r w:rsidR="00A8392E">
        <w:rPr>
          <w:i/>
          <w:iCs/>
          <w:sz w:val="20"/>
          <w:szCs w:val="20"/>
          <w:lang w:val="en-CA"/>
        </w:rPr>
        <w:t xml:space="preserve">email: </w:t>
      </w:r>
      <w:hyperlink r:id="rId8" w:history="1">
        <w:r w:rsidR="004B6C91" w:rsidRPr="00297A9F">
          <w:rPr>
            <w:rStyle w:val="a8"/>
            <w:i/>
            <w:iCs/>
            <w:sz w:val="20"/>
            <w:szCs w:val="20"/>
            <w:lang w:val="en-CA"/>
          </w:rPr>
          <w:t>radivon.av@phystech.edu</w:t>
        </w:r>
      </w:hyperlink>
      <w:r>
        <w:rPr>
          <w:i/>
          <w:iCs/>
          <w:sz w:val="20"/>
          <w:szCs w:val="20"/>
          <w:lang w:val="en-CA"/>
        </w:rPr>
        <w:t xml:space="preserve"> </w:t>
      </w:r>
    </w:p>
    <w:p w:rsidR="00EE0971" w:rsidRPr="0001626A" w:rsidRDefault="00EE0971">
      <w:pPr>
        <w:pStyle w:val="Standard"/>
        <w:rPr>
          <w:sz w:val="20"/>
          <w:szCs w:val="20"/>
          <w:lang w:val="en-US" w:eastAsia="ja-JP"/>
        </w:rPr>
      </w:pPr>
    </w:p>
    <w:p w:rsidR="00836D30" w:rsidRPr="00836D30" w:rsidRDefault="00836D30" w:rsidP="00836D30">
      <w:pPr>
        <w:pStyle w:val="Standard"/>
        <w:jc w:val="both"/>
        <w:rPr>
          <w:szCs w:val="20"/>
          <w:lang w:val="en-US" w:eastAsia="ja-JP"/>
        </w:rPr>
      </w:pPr>
      <w:r w:rsidRPr="00836D30">
        <w:rPr>
          <w:szCs w:val="20"/>
          <w:lang w:val="en-US" w:eastAsia="ja-JP"/>
        </w:rPr>
        <w:t xml:space="preserve">The optical vortex which characterized by the helical </w:t>
      </w:r>
      <w:proofErr w:type="spellStart"/>
      <w:r w:rsidRPr="00836D30">
        <w:rPr>
          <w:szCs w:val="20"/>
          <w:lang w:val="en-US" w:eastAsia="ja-JP"/>
        </w:rPr>
        <w:t>wavefront</w:t>
      </w:r>
      <w:proofErr w:type="spellEnd"/>
      <w:r w:rsidRPr="00836D30">
        <w:rPr>
          <w:szCs w:val="20"/>
          <w:lang w:val="en-US" w:eastAsia="ja-JP"/>
        </w:rPr>
        <w:t xml:space="preserve"> has been attracted attention for multiple applications due to its unique properties. To extend the range of applications where the vortex can be used, tunable structures are highly required. In this work, we propose a spiral zone plates based of the carbon nanotubes (CNT) thin film and deposed on the elastomers which are used for optical vortex generation in the THz frequency range. We studied the intensity field structure near the focus point of the different CNT spirals using the backward-wave oscillator THz imaging technique, supported by numerical simulations based on the scalar theory of diffraction. Moreover, several approaches could be used for manipulation and control of the vortex parameters. In one of them, we combined two spirals and rotated them with respect to one another, having the ability to change the topological charge of the vortex and spatially split the beam into several beams depending onto the rotation angle. On the other side the stretchable polymer film makes possible to tune the geometry of the spiral zone plate and its focus position by the mechanical stretch by analogy with our previous work [1]. These findings open remarkable opportunities for advanced optics based on </w:t>
      </w:r>
      <w:proofErr w:type="spellStart"/>
      <w:r w:rsidRPr="00836D30">
        <w:rPr>
          <w:szCs w:val="20"/>
          <w:lang w:val="en-US" w:eastAsia="ja-JP"/>
        </w:rPr>
        <w:t>twistronic</w:t>
      </w:r>
      <w:proofErr w:type="spellEnd"/>
      <w:r w:rsidRPr="00836D30">
        <w:rPr>
          <w:szCs w:val="20"/>
          <w:lang w:val="en-US" w:eastAsia="ja-JP"/>
        </w:rPr>
        <w:t xml:space="preserve"> and </w:t>
      </w:r>
      <w:proofErr w:type="spellStart"/>
      <w:r w:rsidRPr="00836D30">
        <w:rPr>
          <w:szCs w:val="20"/>
          <w:lang w:val="en-US" w:eastAsia="ja-JP"/>
        </w:rPr>
        <w:t>sretchtronics</w:t>
      </w:r>
      <w:proofErr w:type="spellEnd"/>
      <w:r w:rsidRPr="00836D30">
        <w:rPr>
          <w:szCs w:val="20"/>
          <w:lang w:val="en-US" w:eastAsia="ja-JP"/>
        </w:rPr>
        <w:t xml:space="preserve"> concepts.</w:t>
      </w:r>
    </w:p>
    <w:p w:rsidR="00836D30" w:rsidRPr="00836D30" w:rsidRDefault="00836D30" w:rsidP="00836D30">
      <w:pPr>
        <w:pStyle w:val="Standard"/>
        <w:jc w:val="both"/>
        <w:rPr>
          <w:szCs w:val="20"/>
          <w:lang w:val="en-US" w:eastAsia="ja-JP"/>
        </w:rPr>
      </w:pPr>
    </w:p>
    <w:p w:rsidR="00836D30" w:rsidRPr="00836D30" w:rsidRDefault="00836D30" w:rsidP="00836D30">
      <w:pPr>
        <w:pStyle w:val="Standard"/>
        <w:jc w:val="both"/>
        <w:rPr>
          <w:szCs w:val="20"/>
          <w:lang w:val="en-US" w:eastAsia="ja-JP"/>
        </w:rPr>
      </w:pPr>
    </w:p>
    <w:p w:rsidR="00836D30" w:rsidRPr="00836D30" w:rsidRDefault="00836D30" w:rsidP="00836D30">
      <w:pPr>
        <w:pStyle w:val="Standard"/>
        <w:jc w:val="both"/>
        <w:rPr>
          <w:szCs w:val="20"/>
          <w:lang w:val="en-US" w:eastAsia="ja-JP"/>
        </w:rPr>
      </w:pPr>
      <w:r w:rsidRPr="00836D30">
        <w:rPr>
          <w:szCs w:val="20"/>
          <w:lang w:val="en-US" w:eastAsia="ja-JP"/>
        </w:rPr>
        <w:t>This work was supported by the Russian Science Foundation (RSF), research project # 22-72-10033.</w:t>
      </w:r>
    </w:p>
    <w:p w:rsidR="00836D30" w:rsidRDefault="00836D30" w:rsidP="00836D30">
      <w:pPr>
        <w:pStyle w:val="Standard"/>
        <w:jc w:val="both"/>
        <w:rPr>
          <w:szCs w:val="20"/>
          <w:lang w:val="en-US" w:eastAsia="ja-JP"/>
        </w:rPr>
      </w:pPr>
    </w:p>
    <w:p w:rsidR="00836D30" w:rsidRPr="00836D30" w:rsidRDefault="00836D30" w:rsidP="00836D30">
      <w:pPr>
        <w:pStyle w:val="Standard"/>
        <w:jc w:val="both"/>
        <w:rPr>
          <w:szCs w:val="20"/>
          <w:lang w:val="en-US" w:eastAsia="ja-JP"/>
        </w:rPr>
      </w:pPr>
      <w:r w:rsidRPr="00836D30">
        <w:rPr>
          <w:szCs w:val="20"/>
          <w:lang w:val="en-US" w:eastAsia="ja-JP"/>
        </w:rPr>
        <w:t>The authors acknowledge the ITMO-MIPT-</w:t>
      </w:r>
      <w:proofErr w:type="spellStart"/>
      <w:r w:rsidRPr="00836D30">
        <w:rPr>
          <w:szCs w:val="20"/>
          <w:lang w:val="en-US" w:eastAsia="ja-JP"/>
        </w:rPr>
        <w:t>Skoltech</w:t>
      </w:r>
      <w:proofErr w:type="spellEnd"/>
      <w:r w:rsidRPr="00836D30">
        <w:rPr>
          <w:szCs w:val="20"/>
          <w:lang w:val="en-US" w:eastAsia="ja-JP"/>
        </w:rPr>
        <w:t xml:space="preserve"> Clover initiative</w:t>
      </w:r>
    </w:p>
    <w:p w:rsidR="00836D30" w:rsidRPr="00836D30" w:rsidRDefault="00836D30" w:rsidP="00836D30">
      <w:pPr>
        <w:pStyle w:val="Standard"/>
        <w:jc w:val="both"/>
        <w:rPr>
          <w:szCs w:val="20"/>
          <w:lang w:val="en-US" w:eastAsia="ja-JP"/>
        </w:rPr>
      </w:pPr>
    </w:p>
    <w:p w:rsidR="00836D30" w:rsidRPr="00836D30" w:rsidRDefault="00836D30" w:rsidP="00836D30">
      <w:pPr>
        <w:pStyle w:val="Standard"/>
        <w:jc w:val="both"/>
        <w:rPr>
          <w:szCs w:val="20"/>
          <w:lang w:val="en-US" w:eastAsia="ja-JP"/>
        </w:rPr>
      </w:pPr>
    </w:p>
    <w:p w:rsidR="002A609A" w:rsidRPr="00DE4BCB" w:rsidRDefault="00836D30" w:rsidP="00836D30">
      <w:pPr>
        <w:pStyle w:val="Standard"/>
        <w:jc w:val="both"/>
        <w:rPr>
          <w:lang w:val="en-US"/>
        </w:rPr>
      </w:pPr>
      <w:r w:rsidRPr="00836D30">
        <w:rPr>
          <w:szCs w:val="20"/>
          <w:lang w:val="en-US" w:eastAsia="ja-JP"/>
        </w:rPr>
        <w:t xml:space="preserve">[1] G.M. </w:t>
      </w:r>
      <w:proofErr w:type="spellStart"/>
      <w:r w:rsidRPr="00836D30">
        <w:rPr>
          <w:szCs w:val="20"/>
          <w:lang w:val="en-US" w:eastAsia="ja-JP"/>
        </w:rPr>
        <w:t>Katyba</w:t>
      </w:r>
      <w:proofErr w:type="spellEnd"/>
      <w:r w:rsidRPr="00836D30">
        <w:rPr>
          <w:szCs w:val="20"/>
          <w:lang w:val="en-US" w:eastAsia="ja-JP"/>
        </w:rPr>
        <w:t xml:space="preserve">, N.I. </w:t>
      </w:r>
      <w:proofErr w:type="spellStart"/>
      <w:r w:rsidRPr="00836D30">
        <w:rPr>
          <w:szCs w:val="20"/>
          <w:lang w:val="en-US" w:eastAsia="ja-JP"/>
        </w:rPr>
        <w:t>Raginov</w:t>
      </w:r>
      <w:proofErr w:type="spellEnd"/>
      <w:r w:rsidRPr="00836D30">
        <w:rPr>
          <w:szCs w:val="20"/>
          <w:lang w:val="en-US" w:eastAsia="ja-JP"/>
        </w:rPr>
        <w:t xml:space="preserve">, E.M. </w:t>
      </w:r>
      <w:proofErr w:type="spellStart"/>
      <w:r w:rsidRPr="00836D30">
        <w:rPr>
          <w:szCs w:val="20"/>
          <w:lang w:val="en-US" w:eastAsia="ja-JP"/>
        </w:rPr>
        <w:t>Khabushev</w:t>
      </w:r>
      <w:proofErr w:type="spellEnd"/>
      <w:r w:rsidRPr="00836D30">
        <w:rPr>
          <w:szCs w:val="20"/>
          <w:lang w:val="en-US" w:eastAsia="ja-JP"/>
        </w:rPr>
        <w:t xml:space="preserve">, V.A. </w:t>
      </w:r>
      <w:proofErr w:type="spellStart"/>
      <w:r w:rsidRPr="00836D30">
        <w:rPr>
          <w:szCs w:val="20"/>
          <w:lang w:val="en-US" w:eastAsia="ja-JP"/>
        </w:rPr>
        <w:t>Zhelnov</w:t>
      </w:r>
      <w:proofErr w:type="spellEnd"/>
      <w:r w:rsidRPr="00836D30">
        <w:rPr>
          <w:szCs w:val="20"/>
          <w:lang w:val="en-US" w:eastAsia="ja-JP"/>
        </w:rPr>
        <w:t xml:space="preserve">, </w:t>
      </w:r>
      <w:proofErr w:type="spellStart"/>
      <w:r w:rsidRPr="00836D30">
        <w:rPr>
          <w:szCs w:val="20"/>
          <w:lang w:val="en-US" w:eastAsia="ja-JP"/>
        </w:rPr>
        <w:t>A.Gorodetsky</w:t>
      </w:r>
      <w:proofErr w:type="spellEnd"/>
      <w:r w:rsidRPr="00836D30">
        <w:rPr>
          <w:szCs w:val="20"/>
          <w:lang w:val="en-US" w:eastAsia="ja-JP"/>
        </w:rPr>
        <w:t xml:space="preserve">, D.A. </w:t>
      </w:r>
      <w:proofErr w:type="spellStart"/>
      <w:r w:rsidRPr="00836D30">
        <w:rPr>
          <w:szCs w:val="20"/>
          <w:lang w:val="en-US" w:eastAsia="ja-JP"/>
        </w:rPr>
        <w:t>Ghazaryan</w:t>
      </w:r>
      <w:proofErr w:type="spellEnd"/>
      <w:r w:rsidRPr="00836D30">
        <w:rPr>
          <w:szCs w:val="20"/>
          <w:lang w:val="en-US" w:eastAsia="ja-JP"/>
        </w:rPr>
        <w:t xml:space="preserve">, M.S. </w:t>
      </w:r>
      <w:proofErr w:type="spellStart"/>
      <w:r w:rsidRPr="00836D30">
        <w:rPr>
          <w:szCs w:val="20"/>
          <w:lang w:val="en-US" w:eastAsia="ja-JP"/>
        </w:rPr>
        <w:t>Mironov</w:t>
      </w:r>
      <w:proofErr w:type="spellEnd"/>
      <w:r w:rsidRPr="00836D30">
        <w:rPr>
          <w:szCs w:val="20"/>
          <w:lang w:val="en-US" w:eastAsia="ja-JP"/>
        </w:rPr>
        <w:t xml:space="preserve">, D.V. </w:t>
      </w:r>
      <w:proofErr w:type="spellStart"/>
      <w:r w:rsidRPr="00836D30">
        <w:rPr>
          <w:szCs w:val="20"/>
          <w:lang w:val="en-US" w:eastAsia="ja-JP"/>
        </w:rPr>
        <w:t>Krasnikov</w:t>
      </w:r>
      <w:proofErr w:type="spellEnd"/>
      <w:r w:rsidRPr="00836D30">
        <w:rPr>
          <w:szCs w:val="20"/>
          <w:lang w:val="en-US" w:eastAsia="ja-JP"/>
        </w:rPr>
        <w:t xml:space="preserve">, Y.G. </w:t>
      </w:r>
      <w:proofErr w:type="spellStart"/>
      <w:r w:rsidRPr="00836D30">
        <w:rPr>
          <w:szCs w:val="20"/>
          <w:lang w:val="en-US" w:eastAsia="ja-JP"/>
        </w:rPr>
        <w:t>Gladush</w:t>
      </w:r>
      <w:proofErr w:type="spellEnd"/>
      <w:r w:rsidRPr="00836D30">
        <w:rPr>
          <w:szCs w:val="20"/>
          <w:lang w:val="en-US" w:eastAsia="ja-JP"/>
        </w:rPr>
        <w:t xml:space="preserve">, J. Lloyd-Hughes, A.G. </w:t>
      </w:r>
      <w:proofErr w:type="spellStart"/>
      <w:r w:rsidRPr="00836D30">
        <w:rPr>
          <w:szCs w:val="20"/>
          <w:lang w:val="en-US" w:eastAsia="ja-JP"/>
        </w:rPr>
        <w:t>Nasibulin</w:t>
      </w:r>
      <w:proofErr w:type="spellEnd"/>
      <w:r w:rsidRPr="00836D30">
        <w:rPr>
          <w:szCs w:val="20"/>
          <w:lang w:val="en-US" w:eastAsia="ja-JP"/>
        </w:rPr>
        <w:t xml:space="preserve">, A.V. </w:t>
      </w:r>
      <w:proofErr w:type="spellStart"/>
      <w:r w:rsidRPr="00836D30">
        <w:rPr>
          <w:szCs w:val="20"/>
          <w:lang w:val="en-US" w:eastAsia="ja-JP"/>
        </w:rPr>
        <w:t>Arsenin</w:t>
      </w:r>
      <w:proofErr w:type="spellEnd"/>
      <w:r w:rsidRPr="00836D30">
        <w:rPr>
          <w:szCs w:val="20"/>
          <w:lang w:val="en-US" w:eastAsia="ja-JP"/>
        </w:rPr>
        <w:t xml:space="preserve">, V.S. </w:t>
      </w:r>
      <w:proofErr w:type="spellStart"/>
      <w:r w:rsidRPr="00836D30">
        <w:rPr>
          <w:szCs w:val="20"/>
          <w:lang w:val="en-US" w:eastAsia="ja-JP"/>
        </w:rPr>
        <w:t>Volkov</w:t>
      </w:r>
      <w:proofErr w:type="spellEnd"/>
      <w:r w:rsidRPr="00836D30">
        <w:rPr>
          <w:szCs w:val="20"/>
          <w:lang w:val="en-US" w:eastAsia="ja-JP"/>
        </w:rPr>
        <w:t xml:space="preserve">, K.I. </w:t>
      </w:r>
      <w:proofErr w:type="spellStart"/>
      <w:r w:rsidRPr="00836D30">
        <w:rPr>
          <w:szCs w:val="20"/>
          <w:lang w:val="en-US" w:eastAsia="ja-JP"/>
        </w:rPr>
        <w:t>Zaytsev</w:t>
      </w:r>
      <w:proofErr w:type="spellEnd"/>
      <w:r w:rsidRPr="00836D30">
        <w:rPr>
          <w:szCs w:val="20"/>
          <w:lang w:val="en-US" w:eastAsia="ja-JP"/>
        </w:rPr>
        <w:t xml:space="preserve">, M.G. </w:t>
      </w:r>
      <w:proofErr w:type="spellStart"/>
      <w:r w:rsidRPr="00836D30">
        <w:rPr>
          <w:szCs w:val="20"/>
          <w:lang w:val="en-US" w:eastAsia="ja-JP"/>
        </w:rPr>
        <w:t>Burdanova</w:t>
      </w:r>
      <w:proofErr w:type="spellEnd"/>
      <w:r w:rsidRPr="00836D30">
        <w:rPr>
          <w:szCs w:val="20"/>
          <w:lang w:val="en-US" w:eastAsia="ja-JP"/>
        </w:rPr>
        <w:t xml:space="preserve">, Tunable THz flat zone plate based on stretchable single-walled carbon nanotube thin film, </w:t>
      </w:r>
      <w:proofErr w:type="spellStart"/>
      <w:r w:rsidRPr="00836D30">
        <w:rPr>
          <w:szCs w:val="20"/>
          <w:lang w:val="en-US" w:eastAsia="ja-JP"/>
        </w:rPr>
        <w:t>Optica</w:t>
      </w:r>
      <w:proofErr w:type="spellEnd"/>
      <w:r w:rsidRPr="00836D30">
        <w:rPr>
          <w:szCs w:val="20"/>
          <w:lang w:val="en-US" w:eastAsia="ja-JP"/>
        </w:rPr>
        <w:t>, 10(1), 53-61, 2023.</w:t>
      </w:r>
    </w:p>
    <w:p w:rsidR="000F0AAF" w:rsidRPr="000F0AAF" w:rsidRDefault="000F0AAF" w:rsidP="003B0354">
      <w:pPr>
        <w:jc w:val="both"/>
        <w:rPr>
          <w:sz w:val="12"/>
          <w:szCs w:val="16"/>
          <w:lang w:val="en-US" w:eastAsia="ja-JP"/>
        </w:rPr>
      </w:pPr>
    </w:p>
    <w:sectPr w:rsidR="000F0AAF" w:rsidRPr="000F0AAF">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38" w:rsidRDefault="00964038">
      <w:r>
        <w:separator/>
      </w:r>
    </w:p>
  </w:endnote>
  <w:endnote w:type="continuationSeparator" w:id="0">
    <w:p w:rsidR="00964038" w:rsidRDefault="0096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eXGyreTerme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38" w:rsidRDefault="00964038">
      <w:r>
        <w:rPr>
          <w:color w:val="000000"/>
        </w:rPr>
        <w:separator/>
      </w:r>
    </w:p>
  </w:footnote>
  <w:footnote w:type="continuationSeparator" w:id="0">
    <w:p w:rsidR="00964038" w:rsidRDefault="00964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009B"/>
    <w:multiLevelType w:val="hybridMultilevel"/>
    <w:tmpl w:val="959AE3C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71"/>
    <w:rsid w:val="0001626A"/>
    <w:rsid w:val="00032BD1"/>
    <w:rsid w:val="000B184E"/>
    <w:rsid w:val="000F0AAF"/>
    <w:rsid w:val="001118AF"/>
    <w:rsid w:val="00167BE7"/>
    <w:rsid w:val="0018103C"/>
    <w:rsid w:val="001A701F"/>
    <w:rsid w:val="001C5B71"/>
    <w:rsid w:val="0023727B"/>
    <w:rsid w:val="002477F1"/>
    <w:rsid w:val="00277550"/>
    <w:rsid w:val="002A609A"/>
    <w:rsid w:val="002F72CA"/>
    <w:rsid w:val="00337BEA"/>
    <w:rsid w:val="003B0354"/>
    <w:rsid w:val="003B5DD1"/>
    <w:rsid w:val="003E0178"/>
    <w:rsid w:val="00412AB0"/>
    <w:rsid w:val="00452452"/>
    <w:rsid w:val="004809DA"/>
    <w:rsid w:val="00482F67"/>
    <w:rsid w:val="004A2673"/>
    <w:rsid w:val="004B6C91"/>
    <w:rsid w:val="004C3CAE"/>
    <w:rsid w:val="00616648"/>
    <w:rsid w:val="006F520F"/>
    <w:rsid w:val="007365B7"/>
    <w:rsid w:val="00737942"/>
    <w:rsid w:val="00757D97"/>
    <w:rsid w:val="00793CAC"/>
    <w:rsid w:val="007A4168"/>
    <w:rsid w:val="007C353A"/>
    <w:rsid w:val="007D6CBF"/>
    <w:rsid w:val="0080795C"/>
    <w:rsid w:val="00810655"/>
    <w:rsid w:val="00817DCE"/>
    <w:rsid w:val="00836D30"/>
    <w:rsid w:val="0085345A"/>
    <w:rsid w:val="0089599A"/>
    <w:rsid w:val="008C7962"/>
    <w:rsid w:val="00963335"/>
    <w:rsid w:val="00964038"/>
    <w:rsid w:val="009837E0"/>
    <w:rsid w:val="00A31221"/>
    <w:rsid w:val="00A67D18"/>
    <w:rsid w:val="00A8392E"/>
    <w:rsid w:val="00AA409D"/>
    <w:rsid w:val="00B177DA"/>
    <w:rsid w:val="00B235E4"/>
    <w:rsid w:val="00B34F45"/>
    <w:rsid w:val="00B55092"/>
    <w:rsid w:val="00B91687"/>
    <w:rsid w:val="00BF4BB5"/>
    <w:rsid w:val="00C6768A"/>
    <w:rsid w:val="00CD2AAD"/>
    <w:rsid w:val="00D52DAF"/>
    <w:rsid w:val="00D55B75"/>
    <w:rsid w:val="00D877AF"/>
    <w:rsid w:val="00DB4A77"/>
    <w:rsid w:val="00DC30D1"/>
    <w:rsid w:val="00DC6F5C"/>
    <w:rsid w:val="00DD323C"/>
    <w:rsid w:val="00DE4BCB"/>
    <w:rsid w:val="00E14433"/>
    <w:rsid w:val="00E42416"/>
    <w:rsid w:val="00E5129A"/>
    <w:rsid w:val="00E72820"/>
    <w:rsid w:val="00E757EA"/>
    <w:rsid w:val="00E940EB"/>
    <w:rsid w:val="00EE0971"/>
    <w:rsid w:val="00EF44E8"/>
    <w:rsid w:val="00F50FD2"/>
    <w:rsid w:val="00F734BF"/>
    <w:rsid w:val="00FA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kern w:val="3"/>
        <w:lang w:val="lt-LT" w:eastAsia="lt-L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eter">
    <w:name w:val="Fuente de párrafo predeter."/>
  </w:style>
  <w:style w:type="paragraph" w:customStyle="1" w:styleId="Standard">
    <w:name w:val="Standard"/>
    <w:pPr>
      <w:widowControl/>
      <w:suppressAutoHyphens/>
    </w:pPr>
    <w:rPr>
      <w:sz w:val="24"/>
      <w:szCs w:val="24"/>
      <w:lang w:val="fr-CA" w:eastAsia="fr-C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rPr>
      <w:b/>
      <w:bCs/>
      <w:sz w:val="20"/>
      <w:szCs w:val="20"/>
    </w:rPr>
  </w:style>
  <w:style w:type="paragraph" w:customStyle="1" w:styleId="Index">
    <w:name w:val="Index"/>
    <w:basedOn w:val="Standard"/>
    <w:pPr>
      <w:suppressLineNumbers/>
    </w:pPr>
    <w:rPr>
      <w:rFonts w:cs="Tahoma"/>
    </w:rPr>
  </w:style>
  <w:style w:type="paragraph" w:customStyle="1" w:styleId="Contents1">
    <w:name w:val="Contents 1"/>
    <w:basedOn w:val="Standard"/>
    <w:pPr>
      <w:tabs>
        <w:tab w:val="right" w:leader="dot" w:pos="9637"/>
      </w:tabs>
    </w:pPr>
    <w:rPr>
      <w:rFonts w:ascii="Arial" w:hAnsi="Arial"/>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character" w:customStyle="1" w:styleId="En-tteCar">
    <w:name w:val="En-tête Car"/>
    <w:rPr>
      <w:sz w:val="24"/>
      <w:szCs w:val="24"/>
      <w:lang w:val="fr-CA" w:eastAsia="fr-CA"/>
    </w:rPr>
  </w:style>
  <w:style w:type="character" w:customStyle="1" w:styleId="PieddepageCar">
    <w:name w:val="Pied de page Car"/>
    <w:rPr>
      <w:sz w:val="24"/>
      <w:szCs w:val="24"/>
      <w:lang w:val="fr-CA" w:eastAsia="fr-CA"/>
    </w:rPr>
  </w:style>
  <w:style w:type="paragraph" w:customStyle="1" w:styleId="MCBody">
    <w:name w:val="MC Body"/>
    <w:next w:val="a"/>
    <w:pPr>
      <w:widowControl/>
      <w:spacing w:before="120"/>
      <w:jc w:val="both"/>
      <w:textAlignment w:val="auto"/>
    </w:pPr>
    <w:rPr>
      <w:rFonts w:eastAsia="Times New Roman"/>
      <w:kern w:val="0"/>
      <w:lang w:val="en-US" w:eastAsia="en-US"/>
    </w:rPr>
  </w:style>
  <w:style w:type="paragraph" w:customStyle="1" w:styleId="MCBodySP">
    <w:name w:val="MC Body SP"/>
    <w:basedOn w:val="MCBody"/>
    <w:pPr>
      <w:spacing w:before="0"/>
      <w:ind w:firstLine="288"/>
      <w:jc w:val="left"/>
    </w:pPr>
  </w:style>
  <w:style w:type="character" w:customStyle="1" w:styleId="fontstyle01">
    <w:name w:val="fontstyle01"/>
    <w:basedOn w:val="a0"/>
    <w:rsid w:val="00793CAC"/>
    <w:rPr>
      <w:rFonts w:ascii="TeXGyreTermes-Regular" w:hAnsi="TeXGyreTermes-Regular" w:hint="default"/>
      <w:b w:val="0"/>
      <w:bCs w:val="0"/>
      <w:i w:val="0"/>
      <w:iCs w:val="0"/>
      <w:color w:val="000000"/>
      <w:sz w:val="20"/>
      <w:szCs w:val="20"/>
    </w:rPr>
  </w:style>
  <w:style w:type="character" w:styleId="a8">
    <w:name w:val="Hyperlink"/>
    <w:basedOn w:val="a0"/>
    <w:uiPriority w:val="99"/>
    <w:unhideWhenUsed/>
    <w:rsid w:val="000B18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kern w:val="3"/>
        <w:lang w:val="lt-LT" w:eastAsia="lt-L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entedeprrafopredeter">
    <w:name w:val="Fuente de párrafo predeter."/>
  </w:style>
  <w:style w:type="paragraph" w:customStyle="1" w:styleId="Standard">
    <w:name w:val="Standard"/>
    <w:pPr>
      <w:widowControl/>
      <w:suppressAutoHyphens/>
    </w:pPr>
    <w:rPr>
      <w:sz w:val="24"/>
      <w:szCs w:val="24"/>
      <w:lang w:val="fr-CA" w:eastAsia="fr-C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rPr>
      <w:b/>
      <w:bCs/>
      <w:sz w:val="20"/>
      <w:szCs w:val="20"/>
    </w:rPr>
  </w:style>
  <w:style w:type="paragraph" w:customStyle="1" w:styleId="Index">
    <w:name w:val="Index"/>
    <w:basedOn w:val="Standard"/>
    <w:pPr>
      <w:suppressLineNumbers/>
    </w:pPr>
    <w:rPr>
      <w:rFonts w:cs="Tahoma"/>
    </w:rPr>
  </w:style>
  <w:style w:type="paragraph" w:customStyle="1" w:styleId="Contents1">
    <w:name w:val="Contents 1"/>
    <w:basedOn w:val="Standard"/>
    <w:pPr>
      <w:tabs>
        <w:tab w:val="right" w:leader="dot" w:pos="9637"/>
      </w:tabs>
    </w:pPr>
    <w:rPr>
      <w:rFonts w:ascii="Arial" w:hAnsi="Arial"/>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character" w:customStyle="1" w:styleId="En-tteCar">
    <w:name w:val="En-tête Car"/>
    <w:rPr>
      <w:sz w:val="24"/>
      <w:szCs w:val="24"/>
      <w:lang w:val="fr-CA" w:eastAsia="fr-CA"/>
    </w:rPr>
  </w:style>
  <w:style w:type="character" w:customStyle="1" w:styleId="PieddepageCar">
    <w:name w:val="Pied de page Car"/>
    <w:rPr>
      <w:sz w:val="24"/>
      <w:szCs w:val="24"/>
      <w:lang w:val="fr-CA" w:eastAsia="fr-CA"/>
    </w:rPr>
  </w:style>
  <w:style w:type="paragraph" w:customStyle="1" w:styleId="MCBody">
    <w:name w:val="MC Body"/>
    <w:next w:val="a"/>
    <w:pPr>
      <w:widowControl/>
      <w:spacing w:before="120"/>
      <w:jc w:val="both"/>
      <w:textAlignment w:val="auto"/>
    </w:pPr>
    <w:rPr>
      <w:rFonts w:eastAsia="Times New Roman"/>
      <w:kern w:val="0"/>
      <w:lang w:val="en-US" w:eastAsia="en-US"/>
    </w:rPr>
  </w:style>
  <w:style w:type="paragraph" w:customStyle="1" w:styleId="MCBodySP">
    <w:name w:val="MC Body SP"/>
    <w:basedOn w:val="MCBody"/>
    <w:pPr>
      <w:spacing w:before="0"/>
      <w:ind w:firstLine="288"/>
      <w:jc w:val="left"/>
    </w:pPr>
  </w:style>
  <w:style w:type="character" w:customStyle="1" w:styleId="fontstyle01">
    <w:name w:val="fontstyle01"/>
    <w:basedOn w:val="a0"/>
    <w:rsid w:val="00793CAC"/>
    <w:rPr>
      <w:rFonts w:ascii="TeXGyreTermes-Regular" w:hAnsi="TeXGyreTermes-Regular" w:hint="default"/>
      <w:b w:val="0"/>
      <w:bCs w:val="0"/>
      <w:i w:val="0"/>
      <w:iCs w:val="0"/>
      <w:color w:val="000000"/>
      <w:sz w:val="20"/>
      <w:szCs w:val="20"/>
    </w:rPr>
  </w:style>
  <w:style w:type="character" w:styleId="a8">
    <w:name w:val="Hyperlink"/>
    <w:basedOn w:val="a0"/>
    <w:uiPriority w:val="99"/>
    <w:unhideWhenUsed/>
    <w:rsid w:val="000B1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54600">
      <w:bodyDiv w:val="1"/>
      <w:marLeft w:val="0"/>
      <w:marRight w:val="0"/>
      <w:marTop w:val="0"/>
      <w:marBottom w:val="0"/>
      <w:divBdr>
        <w:top w:val="none" w:sz="0" w:space="0" w:color="auto"/>
        <w:left w:val="none" w:sz="0" w:space="0" w:color="auto"/>
        <w:bottom w:val="none" w:sz="0" w:space="0" w:color="auto"/>
        <w:right w:val="none" w:sz="0" w:space="0" w:color="auto"/>
      </w:divBdr>
    </w:div>
    <w:div w:id="1337462812">
      <w:bodyDiv w:val="1"/>
      <w:marLeft w:val="0"/>
      <w:marRight w:val="0"/>
      <w:marTop w:val="0"/>
      <w:marBottom w:val="0"/>
      <w:divBdr>
        <w:top w:val="none" w:sz="0" w:space="0" w:color="auto"/>
        <w:left w:val="none" w:sz="0" w:space="0" w:color="auto"/>
        <w:bottom w:val="none" w:sz="0" w:space="0" w:color="auto"/>
        <w:right w:val="none" w:sz="0" w:space="0" w:color="auto"/>
      </w:divBdr>
    </w:div>
    <w:div w:id="209408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divon.av@phystech.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Template for LPM-2011 Abstract</vt:lpstr>
    </vt:vector>
  </TitlesOfParts>
  <Company>SPecialiST RePack</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LPM-2011 Abstract</dc:title>
  <dc:creator>LPM2011</dc:creator>
  <dc:description>This is the Template for the LPM-2011 Abstract.  Please use this template, and convert to PDF for submission.</dc:description>
  <cp:lastModifiedBy>Глеб</cp:lastModifiedBy>
  <cp:revision>3</cp:revision>
  <cp:lastPrinted>2021-08-20T12:03:00Z</cp:lastPrinted>
  <dcterms:created xsi:type="dcterms:W3CDTF">2023-09-05T10:26:00Z</dcterms:created>
  <dcterms:modified xsi:type="dcterms:W3CDTF">2023-09-05T10:29:00Z</dcterms:modified>
</cp:coreProperties>
</file>